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FBD9E" w14:textId="493A66EC" w:rsidR="003B59C5" w:rsidRPr="003B59C5" w:rsidRDefault="003B59C5">
      <w:pPr>
        <w:rPr>
          <w:rFonts w:cs="Times New Roman"/>
          <w:b/>
          <w:bCs/>
          <w:u w:val="single"/>
          <w:lang w:val="en-GB"/>
        </w:rPr>
      </w:pPr>
      <w:r w:rsidRPr="003B59C5">
        <w:rPr>
          <w:rFonts w:cs="Times New Roman"/>
          <w:b/>
          <w:bCs/>
          <w:u w:val="single"/>
          <w:lang w:val="en-GB"/>
        </w:rPr>
        <w:t xml:space="preserve">Research on autonomous </w:t>
      </w:r>
      <w:r>
        <w:rPr>
          <w:rFonts w:cs="Times New Roman"/>
          <w:b/>
          <w:bCs/>
          <w:u w:val="single"/>
          <w:lang w:val="en-GB"/>
        </w:rPr>
        <w:t>vehicles</w:t>
      </w:r>
      <w:r w:rsidRPr="003B59C5">
        <w:rPr>
          <w:rFonts w:cs="Times New Roman"/>
          <w:b/>
          <w:bCs/>
          <w:u w:val="single"/>
          <w:lang w:val="en-GB"/>
        </w:rPr>
        <w:t xml:space="preserve"> in foreign jurisdictions</w:t>
      </w:r>
    </w:p>
    <w:p w14:paraId="023CA0FA" w14:textId="77777777" w:rsidR="003B59C5" w:rsidRPr="003B59C5" w:rsidRDefault="003B59C5">
      <w:pPr>
        <w:rPr>
          <w:rFonts w:cs="Times New Roman"/>
          <w:b/>
          <w:bCs/>
          <w:u w:val="single"/>
          <w:lang w:val="en-GB"/>
        </w:rPr>
      </w:pPr>
    </w:p>
    <w:p w14:paraId="2756E79D" w14:textId="3FAA4598" w:rsidR="00AB3DAB" w:rsidRDefault="00D411F5">
      <w:pPr>
        <w:rPr>
          <w:rFonts w:cs="Times New Roman"/>
        </w:rPr>
      </w:pPr>
      <w:r w:rsidRPr="006C01D5">
        <w:rPr>
          <w:rFonts w:cs="Times New Roman"/>
          <w:b/>
          <w:bCs/>
          <w:u w:val="single"/>
        </w:rPr>
        <w:t>China</w:t>
      </w:r>
      <w:r>
        <w:rPr>
          <w:rFonts w:cs="Times New Roman"/>
        </w:rPr>
        <w:t>:</w:t>
      </w:r>
    </w:p>
    <w:p w14:paraId="5D8A3403" w14:textId="543A2EA1" w:rsidR="00D411F5" w:rsidRPr="00F9734B" w:rsidRDefault="00D411F5" w:rsidP="00D411F5">
      <w:pPr>
        <w:pStyle w:val="Listenabsatz"/>
        <w:numPr>
          <w:ilvl w:val="0"/>
          <w:numId w:val="5"/>
        </w:numPr>
        <w:rPr>
          <w:rFonts w:cs="Times New Roman"/>
          <w:lang w:val="en-GB"/>
        </w:rPr>
      </w:pPr>
      <w:r w:rsidRPr="00D411F5">
        <w:rPr>
          <w:rFonts w:cs="Times New Roman"/>
          <w:lang w:val="en-GB"/>
        </w:rPr>
        <w:t>202</w:t>
      </w:r>
      <w:r>
        <w:rPr>
          <w:rFonts w:cs="Times New Roman"/>
          <w:lang w:val="en-GB"/>
        </w:rPr>
        <w:t>1:</w:t>
      </w:r>
      <w:r w:rsidRPr="00D411F5">
        <w:rPr>
          <w:rFonts w:cs="Times New Roman"/>
          <w:lang w:val="en-GB"/>
        </w:rPr>
        <w:t xml:space="preserve"> release of the </w:t>
      </w:r>
      <w:r w:rsidRPr="00BE7341">
        <w:rPr>
          <w:rFonts w:cs="Times New Roman"/>
          <w:i/>
          <w:iCs/>
          <w:lang w:val="en-GB"/>
        </w:rPr>
        <w:t>Road Traffic Safety Law revision</w:t>
      </w:r>
      <w:r w:rsidRPr="00D411F5">
        <w:rPr>
          <w:rFonts w:cs="Times New Roman"/>
          <w:lang w:val="en-GB"/>
        </w:rPr>
        <w:t xml:space="preserve"> and the </w:t>
      </w:r>
      <w:r w:rsidRPr="00BE7341">
        <w:rPr>
          <w:rFonts w:cs="Times New Roman"/>
          <w:i/>
          <w:iCs/>
          <w:lang w:val="en-GB"/>
        </w:rPr>
        <w:t>Shenzhen Draft Regulations</w:t>
      </w:r>
      <w:r w:rsidR="006F7E15">
        <w:rPr>
          <w:rStyle w:val="Funotenzeichen"/>
          <w:rFonts w:cs="Times New Roman"/>
          <w:i/>
          <w:iCs/>
          <w:lang w:val="en-GB"/>
        </w:rPr>
        <w:footnoteReference w:id="1"/>
      </w:r>
    </w:p>
    <w:p w14:paraId="6E546C64" w14:textId="77777777" w:rsidR="00F9734B" w:rsidRDefault="00F9734B" w:rsidP="00F9734B">
      <w:pPr>
        <w:pStyle w:val="Listenabsatz"/>
        <w:rPr>
          <w:rFonts w:cs="Times New Roman"/>
          <w:lang w:val="en-GB"/>
        </w:rPr>
      </w:pPr>
    </w:p>
    <w:p w14:paraId="4E943DD1" w14:textId="7E5FB142" w:rsidR="00F9734B" w:rsidRPr="009E143D" w:rsidRDefault="009A3B5B" w:rsidP="00F9734B">
      <w:pPr>
        <w:pStyle w:val="Listenabsatz"/>
        <w:numPr>
          <w:ilvl w:val="1"/>
          <w:numId w:val="5"/>
        </w:numPr>
        <w:rPr>
          <w:rFonts w:cs="Times New Roman"/>
          <w:lang w:val="en-GB"/>
        </w:rPr>
      </w:pPr>
      <w:r w:rsidRPr="009E143D">
        <w:rPr>
          <w:rFonts w:cs="Times New Roman"/>
          <w:i/>
          <w:iCs/>
          <w:lang w:val="en-GB"/>
        </w:rPr>
        <w:t xml:space="preserve">The </w:t>
      </w:r>
      <w:r w:rsidR="009A2C00" w:rsidRPr="009E143D">
        <w:rPr>
          <w:rFonts w:cs="Times New Roman"/>
          <w:i/>
          <w:iCs/>
          <w:lang w:val="en-GB"/>
        </w:rPr>
        <w:t>amendments to the Road Traffic Safety Law</w:t>
      </w:r>
      <w:r w:rsidR="009A2C00" w:rsidRPr="009E143D">
        <w:rPr>
          <w:rFonts w:cs="Times New Roman"/>
          <w:lang w:val="en-GB"/>
        </w:rPr>
        <w:t xml:space="preserve"> lay out a vague path to integration for AVs. A test vehicle must pass a series of closed road tests before progressing to open road testing. If a vehicle passes its open road tests it can be manufactured and sold</w:t>
      </w:r>
    </w:p>
    <w:p w14:paraId="22DB3530" w14:textId="77777777" w:rsidR="00F9734B" w:rsidRDefault="00F9734B" w:rsidP="00F9734B">
      <w:pPr>
        <w:pStyle w:val="Listenabsatz"/>
        <w:rPr>
          <w:rFonts w:cs="Times New Roman"/>
          <w:lang w:val="en-GB"/>
        </w:rPr>
      </w:pPr>
    </w:p>
    <w:p w14:paraId="7B565BE2" w14:textId="4F7C2DD6" w:rsidR="00F9734B" w:rsidRDefault="00F9734B" w:rsidP="009E143D">
      <w:pPr>
        <w:pStyle w:val="Listenabsatz"/>
        <w:numPr>
          <w:ilvl w:val="1"/>
          <w:numId w:val="5"/>
        </w:numPr>
        <w:rPr>
          <w:rFonts w:cs="Times New Roman"/>
          <w:lang w:val="en-GB"/>
        </w:rPr>
      </w:pPr>
      <w:r w:rsidRPr="009E143D">
        <w:rPr>
          <w:rFonts w:cs="Times New Roman"/>
          <w:i/>
          <w:iCs/>
          <w:lang w:val="en-GB"/>
        </w:rPr>
        <w:t>The Shenzhen Draft Regulations</w:t>
      </w:r>
      <w:r w:rsidRPr="00F9734B">
        <w:rPr>
          <w:rFonts w:cs="Times New Roman"/>
          <w:lang w:val="en-GB"/>
        </w:rPr>
        <w:t xml:space="preserve"> address questions </w:t>
      </w:r>
      <w:r>
        <w:rPr>
          <w:rFonts w:cs="Times New Roman"/>
          <w:lang w:val="en-GB"/>
        </w:rPr>
        <w:t xml:space="preserve">regarding testing </w:t>
      </w:r>
      <w:r w:rsidRPr="00F9734B">
        <w:rPr>
          <w:rFonts w:cs="Times New Roman"/>
          <w:lang w:val="en-GB"/>
        </w:rPr>
        <w:t>in greater detail</w:t>
      </w:r>
      <w:r>
        <w:rPr>
          <w:rFonts w:cs="Times New Roman"/>
          <w:lang w:val="en-GB"/>
        </w:rPr>
        <w:t xml:space="preserve"> (</w:t>
      </w:r>
      <w:r w:rsidRPr="00F9734B">
        <w:rPr>
          <w:rFonts w:cs="Times New Roman"/>
          <w:lang w:val="en-GB"/>
        </w:rPr>
        <w:t>the Shenzhen region is a testing hub</w:t>
      </w:r>
      <w:r>
        <w:rPr>
          <w:rFonts w:cs="Times New Roman"/>
          <w:lang w:val="en-GB"/>
        </w:rPr>
        <w:t>)</w:t>
      </w:r>
    </w:p>
    <w:p w14:paraId="741D8847" w14:textId="09ACD577" w:rsidR="00F9734B" w:rsidRDefault="00F9734B" w:rsidP="009E143D">
      <w:pPr>
        <w:pStyle w:val="Listenabsatz"/>
        <w:numPr>
          <w:ilvl w:val="2"/>
          <w:numId w:val="5"/>
        </w:numPr>
        <w:rPr>
          <w:rFonts w:cs="Times New Roman"/>
          <w:lang w:val="en-GB"/>
        </w:rPr>
      </w:pPr>
      <w:r w:rsidRPr="00F9734B">
        <w:rPr>
          <w:rFonts w:cs="Times New Roman"/>
          <w:lang w:val="en-GB"/>
        </w:rPr>
        <w:t>The draft regulations notably allow vehicles to be tested without a safety driver physically onboard if they pass a safety assessment (though a safety driver or remote driver is still required for fully automated deployment</w:t>
      </w:r>
      <w:r w:rsidR="00262BFF">
        <w:rPr>
          <w:rFonts w:cs="Times New Roman"/>
          <w:lang w:val="en-GB"/>
        </w:rPr>
        <w:t>)</w:t>
      </w:r>
    </w:p>
    <w:p w14:paraId="159AC697" w14:textId="4D9E4CE5" w:rsidR="00262BFF" w:rsidRDefault="00262BFF" w:rsidP="00AA6C46">
      <w:pPr>
        <w:pStyle w:val="Listenabsatz"/>
        <w:numPr>
          <w:ilvl w:val="2"/>
          <w:numId w:val="5"/>
        </w:numPr>
        <w:rPr>
          <w:rFonts w:cs="Times New Roman"/>
          <w:lang w:val="en-GB"/>
        </w:rPr>
      </w:pPr>
      <w:r w:rsidRPr="009E143D">
        <w:rPr>
          <w:rFonts w:cs="Times New Roman"/>
          <w:lang w:val="en-GB"/>
        </w:rPr>
        <w:t>The regulations specify that autonomous vehicle routes should be located at a significant distance from densely populated areas, including schools, hospitals, and large shopping malls.</w:t>
      </w:r>
    </w:p>
    <w:p w14:paraId="7D40835D" w14:textId="77777777" w:rsidR="009E143D" w:rsidRPr="009E143D" w:rsidRDefault="009E143D" w:rsidP="009E143D">
      <w:pPr>
        <w:pStyle w:val="Listenabsatz"/>
        <w:ind w:left="2160"/>
        <w:rPr>
          <w:rFonts w:cs="Times New Roman"/>
          <w:lang w:val="en-GB"/>
        </w:rPr>
      </w:pPr>
    </w:p>
    <w:p w14:paraId="4DEF3B39" w14:textId="4889A204" w:rsidR="00F9734B" w:rsidRDefault="00110B0B" w:rsidP="00262BFF">
      <w:pPr>
        <w:pStyle w:val="Listenabsatz"/>
        <w:numPr>
          <w:ilvl w:val="0"/>
          <w:numId w:val="5"/>
        </w:numPr>
        <w:rPr>
          <w:rFonts w:cs="Times New Roman"/>
          <w:lang w:val="en-GB"/>
        </w:rPr>
      </w:pPr>
      <w:r w:rsidRPr="00110B0B">
        <w:rPr>
          <w:rFonts w:cs="Times New Roman"/>
          <w:lang w:val="en-GB"/>
        </w:rPr>
        <w:t xml:space="preserve">Local governments including Beijing, Wuhan, and Chongqing have issued licenses to operate driverless </w:t>
      </w:r>
      <w:proofErr w:type="spellStart"/>
      <w:r w:rsidRPr="00110B0B">
        <w:rPr>
          <w:rFonts w:cs="Times New Roman"/>
          <w:lang w:val="en-GB"/>
        </w:rPr>
        <w:t>robotaxis</w:t>
      </w:r>
      <w:proofErr w:type="spellEnd"/>
      <w:r w:rsidRPr="00110B0B">
        <w:rPr>
          <w:rFonts w:cs="Times New Roman"/>
          <w:lang w:val="en-GB"/>
        </w:rPr>
        <w:t xml:space="preserve"> for commercial purposes to Baidu (a leading AI company)</w:t>
      </w:r>
      <w:r w:rsidR="0048718F">
        <w:rPr>
          <w:rStyle w:val="Funotenzeichen"/>
          <w:rFonts w:cs="Times New Roman"/>
          <w:lang w:val="en-GB"/>
        </w:rPr>
        <w:footnoteReference w:id="2"/>
      </w:r>
    </w:p>
    <w:p w14:paraId="44B400A5" w14:textId="77777777" w:rsidR="0048718F" w:rsidRPr="0048718F" w:rsidRDefault="0048718F" w:rsidP="0048718F">
      <w:pPr>
        <w:pStyle w:val="Listenabsatz"/>
        <w:rPr>
          <w:rFonts w:cs="Times New Roman"/>
          <w:lang w:val="en-GB"/>
        </w:rPr>
      </w:pPr>
    </w:p>
    <w:p w14:paraId="1CB0463B" w14:textId="4365AF8A" w:rsidR="00F15CEA" w:rsidRPr="0055395F" w:rsidRDefault="00F15CEA" w:rsidP="0055395F">
      <w:pPr>
        <w:pStyle w:val="Listenabsatz"/>
        <w:numPr>
          <w:ilvl w:val="0"/>
          <w:numId w:val="5"/>
        </w:numPr>
        <w:rPr>
          <w:rFonts w:cs="Times New Roman"/>
          <w:lang w:val="en-GB"/>
        </w:rPr>
      </w:pPr>
      <w:r w:rsidRPr="00F15CEA">
        <w:rPr>
          <w:rFonts w:cs="Times New Roman"/>
          <w:lang w:val="en-GB"/>
        </w:rPr>
        <w:t xml:space="preserve">China is still early in its development of comprehensive legislation. It has identified five categories for regulatory frameworks: </w:t>
      </w:r>
      <w:r w:rsidRPr="00F15CEA">
        <w:rPr>
          <w:rFonts w:cs="Times New Roman"/>
          <w:i/>
          <w:iCs/>
          <w:lang w:val="en-GB"/>
        </w:rPr>
        <w:t>basic, general specification, test method, limited-scenario application, and key function</w:t>
      </w:r>
      <w:r w:rsidR="0055395F">
        <w:rPr>
          <w:rFonts w:cs="Times New Roman"/>
          <w:lang w:val="en-GB"/>
        </w:rPr>
        <w:t xml:space="preserve">. It </w:t>
      </w:r>
      <w:r w:rsidR="0055395F" w:rsidRPr="0055395F">
        <w:rPr>
          <w:rFonts w:cs="Times New Roman"/>
          <w:lang w:val="en-GB"/>
        </w:rPr>
        <w:t>boasts numerous working groups dedicated to public-private partnerships, each granted extensive authority to formulate standards and establish best practices within the five specified categories</w:t>
      </w:r>
      <w:r w:rsidR="0055395F">
        <w:rPr>
          <w:rFonts w:cs="Times New Roman"/>
          <w:lang w:val="en-GB"/>
        </w:rPr>
        <w:t>.</w:t>
      </w:r>
      <w:r w:rsidR="00ED5E88">
        <w:rPr>
          <w:rStyle w:val="Funotenzeichen"/>
          <w:rFonts w:cs="Times New Roman"/>
          <w:lang w:val="en-GB"/>
        </w:rPr>
        <w:footnoteReference w:id="3"/>
      </w:r>
    </w:p>
    <w:p w14:paraId="530BFE36" w14:textId="77777777" w:rsidR="00F15CEA" w:rsidRDefault="00F15CEA" w:rsidP="00311B98">
      <w:pPr>
        <w:pStyle w:val="Listenabsatz"/>
        <w:rPr>
          <w:rFonts w:cs="Times New Roman"/>
          <w:i/>
          <w:iCs/>
          <w:lang w:val="en-GB"/>
        </w:rPr>
      </w:pPr>
    </w:p>
    <w:p w14:paraId="23650524" w14:textId="21055138" w:rsidR="00311B98" w:rsidRDefault="00311B98" w:rsidP="00311B98">
      <w:pPr>
        <w:pStyle w:val="Listenabsatz"/>
        <w:numPr>
          <w:ilvl w:val="0"/>
          <w:numId w:val="5"/>
        </w:numPr>
        <w:rPr>
          <w:rFonts w:cs="Times New Roman"/>
          <w:lang w:val="en-GB"/>
        </w:rPr>
      </w:pPr>
      <w:r w:rsidRPr="00311B98">
        <w:rPr>
          <w:rFonts w:cs="Times New Roman"/>
          <w:lang w:val="en-GB"/>
        </w:rPr>
        <w:t>China chose to create its own classification system for autonomous vehicles, aiming to eliminate ambiguity found in SAE definitions by offering comparable yet more comprehensive explanations for each level of automation.</w:t>
      </w:r>
      <w:r w:rsidR="00437611">
        <w:rPr>
          <w:rFonts w:cs="Times New Roman"/>
          <w:lang w:val="en-GB"/>
        </w:rPr>
        <w:t xml:space="preserve"> C</w:t>
      </w:r>
      <w:r w:rsidR="00437611" w:rsidRPr="00437611">
        <w:rPr>
          <w:rFonts w:cs="Times New Roman"/>
          <w:lang w:val="en-GB"/>
        </w:rPr>
        <w:t xml:space="preserve">hinese version aims to be </w:t>
      </w:r>
      <w:r w:rsidR="008269AC" w:rsidRPr="00437611">
        <w:rPr>
          <w:rFonts w:cs="Times New Roman"/>
          <w:lang w:val="en-GB"/>
        </w:rPr>
        <w:t>more detailed and clearer.</w:t>
      </w:r>
      <w:r w:rsidR="00604A85">
        <w:rPr>
          <w:rStyle w:val="Funotenzeichen"/>
          <w:rFonts w:cs="Times New Roman"/>
          <w:lang w:val="en-GB"/>
        </w:rPr>
        <w:footnoteReference w:id="4"/>
      </w:r>
    </w:p>
    <w:p w14:paraId="417B1C45" w14:textId="77777777" w:rsidR="00311B98" w:rsidRPr="00311B98" w:rsidRDefault="00311B98" w:rsidP="00311B98">
      <w:pPr>
        <w:pStyle w:val="Listenabsatz"/>
        <w:rPr>
          <w:rFonts w:cs="Times New Roman"/>
          <w:lang w:val="en-GB"/>
        </w:rPr>
      </w:pPr>
    </w:p>
    <w:p w14:paraId="683063EF" w14:textId="61B8504F" w:rsidR="00BD237D" w:rsidRPr="00EE63E7" w:rsidRDefault="00BD237D" w:rsidP="00311B98">
      <w:pPr>
        <w:pStyle w:val="Listenabsatz"/>
        <w:numPr>
          <w:ilvl w:val="1"/>
          <w:numId w:val="5"/>
        </w:numPr>
        <w:rPr>
          <w:rFonts w:cs="Times New Roman"/>
          <w:lang w:val="en-GB"/>
        </w:rPr>
      </w:pPr>
      <w:r w:rsidRPr="00EE63E7">
        <w:rPr>
          <w:rFonts w:cs="Times New Roman"/>
          <w:lang w:val="en-GB"/>
        </w:rPr>
        <w:t xml:space="preserve">A Level 0 system is one in which the automation is only for emergency assistance </w:t>
      </w:r>
      <w:proofErr w:type="gramStart"/>
      <w:r w:rsidRPr="00EE63E7">
        <w:rPr>
          <w:rFonts w:cs="Times New Roman"/>
          <w:lang w:val="en-GB"/>
        </w:rPr>
        <w:t>systems</w:t>
      </w:r>
      <w:proofErr w:type="gramEnd"/>
    </w:p>
    <w:p w14:paraId="1EA43EDA" w14:textId="26821A1C" w:rsidR="008F0975" w:rsidRPr="00EE63E7" w:rsidRDefault="007A3157" w:rsidP="00311B98">
      <w:pPr>
        <w:pStyle w:val="Listenabsatz"/>
        <w:numPr>
          <w:ilvl w:val="1"/>
          <w:numId w:val="5"/>
        </w:numPr>
        <w:rPr>
          <w:rFonts w:cs="Times New Roman"/>
          <w:lang w:val="en-GB"/>
        </w:rPr>
      </w:pPr>
      <w:r w:rsidRPr="00EE63E7">
        <w:rPr>
          <w:rFonts w:cs="Times New Roman"/>
          <w:lang w:val="en-GB"/>
        </w:rPr>
        <w:t>China’s Level 0, Level 1 and Level 2 require that the driver and the automated driving system work together on detecting and responding to objects and events while the SAE version only requires drivers to perform the tasks for these levels.</w:t>
      </w:r>
    </w:p>
    <w:p w14:paraId="7B18F4DF" w14:textId="38F56402" w:rsidR="00311B98" w:rsidRPr="00EE63E7" w:rsidRDefault="00311B98" w:rsidP="00311B98">
      <w:pPr>
        <w:pStyle w:val="Listenabsatz"/>
        <w:numPr>
          <w:ilvl w:val="1"/>
          <w:numId w:val="5"/>
        </w:numPr>
        <w:rPr>
          <w:rFonts w:cs="Times New Roman"/>
          <w:lang w:val="en-GB"/>
        </w:rPr>
      </w:pPr>
      <w:r w:rsidRPr="00EE63E7">
        <w:rPr>
          <w:rFonts w:cs="Times New Roman"/>
          <w:lang w:val="en-GB"/>
        </w:rPr>
        <w:t>At Level 3 begins Automated Driving. In Level 3 automation, the driver only needs to function as a safety officer who can intervene during an emergency or if the vehicle is no longer in its identified ODD (Operational Design Domain)</w:t>
      </w:r>
      <w:r w:rsidR="00AA06A1" w:rsidRPr="00EE63E7">
        <w:rPr>
          <w:rFonts w:cs="Times New Roman"/>
          <w:lang w:val="en-GB"/>
        </w:rPr>
        <w:t>. Level 3 is named as Conditionally Automated Driving as it could continuously perform all dynamic driving tasks under its designed operating conditions.</w:t>
      </w:r>
    </w:p>
    <w:p w14:paraId="607A7074" w14:textId="4FE5AE0D" w:rsidR="00AA06A1" w:rsidRPr="00EE63E7" w:rsidRDefault="00BD237D" w:rsidP="00311B98">
      <w:pPr>
        <w:pStyle w:val="Listenabsatz"/>
        <w:numPr>
          <w:ilvl w:val="1"/>
          <w:numId w:val="5"/>
        </w:numPr>
        <w:rPr>
          <w:rFonts w:cs="Times New Roman"/>
          <w:lang w:val="en-GB"/>
        </w:rPr>
      </w:pPr>
      <w:r w:rsidRPr="00EE63E7">
        <w:rPr>
          <w:rFonts w:cs="Times New Roman"/>
          <w:lang w:val="en-GB"/>
        </w:rPr>
        <w:t>Level 4 is called highly automated driving. At this level, the vehicle is also able to takes measures to reduce the risk of accident should the driving automation system fail to perform the necessary actions.</w:t>
      </w:r>
    </w:p>
    <w:p w14:paraId="43144346" w14:textId="7C5796B8" w:rsidR="00BD237D" w:rsidRPr="00EE63E7" w:rsidRDefault="00BD237D" w:rsidP="00311B98">
      <w:pPr>
        <w:pStyle w:val="Listenabsatz"/>
        <w:numPr>
          <w:ilvl w:val="1"/>
          <w:numId w:val="5"/>
        </w:numPr>
        <w:rPr>
          <w:rFonts w:cs="Times New Roman"/>
          <w:lang w:val="en-GB"/>
        </w:rPr>
      </w:pPr>
      <w:r w:rsidRPr="00EE63E7">
        <w:rPr>
          <w:rFonts w:cs="Times New Roman"/>
          <w:lang w:val="en-GB"/>
        </w:rPr>
        <w:lastRenderedPageBreak/>
        <w:t>Finally, Level 5 is fully automated driving. This level means that there are no limitations by any operating design scope, and the vehicle can continuously perform all dynamic driving tasks under any conditions. Should the driving automation system fail to perform dynamic driving tasks, the L5 system takes measures to reduce the risk of accident and to minimize any damages.</w:t>
      </w:r>
    </w:p>
    <w:p w14:paraId="5E79938D" w14:textId="78152F29" w:rsidR="008B4B54" w:rsidRDefault="008B4B54" w:rsidP="0001214F">
      <w:pPr>
        <w:rPr>
          <w:lang w:val="en-GB"/>
        </w:rPr>
      </w:pPr>
    </w:p>
    <w:p w14:paraId="2A7369BE" w14:textId="542A25AF" w:rsidR="0001214F" w:rsidRDefault="005B6E6E" w:rsidP="0001214F">
      <w:pPr>
        <w:pStyle w:val="Listenabsatz"/>
        <w:numPr>
          <w:ilvl w:val="0"/>
          <w:numId w:val="5"/>
        </w:numPr>
        <w:rPr>
          <w:lang w:val="en-GB"/>
        </w:rPr>
      </w:pPr>
      <w:r>
        <w:rPr>
          <w:lang w:val="en-GB"/>
        </w:rPr>
        <w:t>Liability for Accidents:</w:t>
      </w:r>
      <w:r w:rsidR="00EE63E7">
        <w:rPr>
          <w:rStyle w:val="Funotenzeichen"/>
          <w:lang w:val="en-GB"/>
        </w:rPr>
        <w:footnoteReference w:id="5"/>
      </w:r>
      <w:r>
        <w:rPr>
          <w:lang w:val="en-GB"/>
        </w:rPr>
        <w:t xml:space="preserve"> </w:t>
      </w:r>
    </w:p>
    <w:p w14:paraId="684F5423" w14:textId="217AEC9E" w:rsidR="005B6E6E" w:rsidRDefault="00A977E0" w:rsidP="005B6E6E">
      <w:pPr>
        <w:pStyle w:val="Listenabsatz"/>
        <w:numPr>
          <w:ilvl w:val="1"/>
          <w:numId w:val="5"/>
        </w:numPr>
        <w:rPr>
          <w:lang w:val="en-GB"/>
        </w:rPr>
      </w:pPr>
      <w:r w:rsidRPr="00A977E0">
        <w:rPr>
          <w:lang w:val="en-GB"/>
        </w:rPr>
        <w:t>The existing liability framework does not include much information regarding AVs.</w:t>
      </w:r>
    </w:p>
    <w:p w14:paraId="7D615827" w14:textId="351E3A4C" w:rsidR="00A977E0" w:rsidRDefault="009D07E1" w:rsidP="005B6E6E">
      <w:pPr>
        <w:pStyle w:val="Listenabsatz"/>
        <w:numPr>
          <w:ilvl w:val="1"/>
          <w:numId w:val="5"/>
        </w:numPr>
        <w:rPr>
          <w:lang w:val="en-GB"/>
        </w:rPr>
      </w:pPr>
      <w:r w:rsidRPr="009D07E1">
        <w:rPr>
          <w:lang w:val="en-GB"/>
        </w:rPr>
        <w:t>The Shenzhen guidelines for new driverless testing split liability</w:t>
      </w:r>
      <w:r>
        <w:rPr>
          <w:lang w:val="en-GB"/>
        </w:rPr>
        <w:t xml:space="preserve">: </w:t>
      </w:r>
      <w:r w:rsidRPr="009D07E1">
        <w:rPr>
          <w:lang w:val="en-GB"/>
        </w:rPr>
        <w:t>When a vehicle has a driver, the driver is responsible for traffic incidents, and, if the car is driverless, liability falls to the “controller or owner.”</w:t>
      </w:r>
    </w:p>
    <w:p w14:paraId="449378B4" w14:textId="5835209A" w:rsidR="002F0C3C" w:rsidRDefault="002F0C3C" w:rsidP="005B6E6E">
      <w:pPr>
        <w:pStyle w:val="Listenabsatz"/>
        <w:numPr>
          <w:ilvl w:val="1"/>
          <w:numId w:val="5"/>
        </w:numPr>
        <w:rPr>
          <w:lang w:val="en-GB"/>
        </w:rPr>
      </w:pPr>
      <w:r w:rsidRPr="002F0C3C">
        <w:rPr>
          <w:lang w:val="en-GB"/>
        </w:rPr>
        <w:t xml:space="preserve">In cases of violations and accidents that occur while the automated driving system is responsible for all dynamic driving tasks or during the transition period when taking over the dynamic driving task, the vehicle's controller shall assume the corresponding </w:t>
      </w:r>
      <w:proofErr w:type="gramStart"/>
      <w:r w:rsidRPr="002F0C3C">
        <w:rPr>
          <w:lang w:val="en-GB"/>
        </w:rPr>
        <w:t>liability</w:t>
      </w:r>
      <w:proofErr w:type="gramEnd"/>
    </w:p>
    <w:p w14:paraId="2903AF71" w14:textId="6C2BD1E7" w:rsidR="002F0C3C" w:rsidRDefault="002F0C3C" w:rsidP="002F0C3C">
      <w:pPr>
        <w:pStyle w:val="Listenabsatz"/>
        <w:numPr>
          <w:ilvl w:val="1"/>
          <w:numId w:val="5"/>
        </w:numPr>
        <w:rPr>
          <w:lang w:val="en-GB"/>
        </w:rPr>
      </w:pPr>
      <w:r w:rsidRPr="002F0C3C">
        <w:rPr>
          <w:lang w:val="en-GB"/>
        </w:rPr>
        <w:t>Even though the driver bears a substantial amount of liability, if the accident is caused by a defect, the injured party has the option to seek compensation from the manufacturer.</w:t>
      </w:r>
    </w:p>
    <w:p w14:paraId="4D7DBFDF" w14:textId="77777777" w:rsidR="002F0C3C" w:rsidRDefault="002F0C3C" w:rsidP="002F0C3C">
      <w:pPr>
        <w:pStyle w:val="Listenabsatz"/>
        <w:numPr>
          <w:ilvl w:val="1"/>
          <w:numId w:val="5"/>
        </w:numPr>
        <w:rPr>
          <w:lang w:val="en-GB"/>
        </w:rPr>
      </w:pPr>
      <w:r>
        <w:rPr>
          <w:lang w:val="en-GB"/>
        </w:rPr>
        <w:t xml:space="preserve">Telos: </w:t>
      </w:r>
    </w:p>
    <w:p w14:paraId="40303C7E" w14:textId="195A2E0A" w:rsidR="002F0C3C" w:rsidRDefault="002F0C3C" w:rsidP="002F0C3C">
      <w:pPr>
        <w:pStyle w:val="Listenabsatz"/>
        <w:numPr>
          <w:ilvl w:val="2"/>
          <w:numId w:val="5"/>
        </w:numPr>
        <w:rPr>
          <w:lang w:val="en-GB"/>
        </w:rPr>
      </w:pPr>
      <w:r w:rsidRPr="002F0C3C">
        <w:rPr>
          <w:lang w:val="en-GB"/>
        </w:rPr>
        <w:t xml:space="preserve">principle of “one who benefits bears </w:t>
      </w:r>
      <w:proofErr w:type="gramStart"/>
      <w:r w:rsidRPr="002F0C3C">
        <w:rPr>
          <w:lang w:val="en-GB"/>
        </w:rPr>
        <w:t>responsibility</w:t>
      </w:r>
      <w:proofErr w:type="gramEnd"/>
    </w:p>
    <w:p w14:paraId="73DC3921" w14:textId="77D09E6A" w:rsidR="002F0C3C" w:rsidRDefault="002F0C3C" w:rsidP="002F0C3C">
      <w:pPr>
        <w:pStyle w:val="Listenabsatz"/>
        <w:numPr>
          <w:ilvl w:val="2"/>
          <w:numId w:val="5"/>
        </w:numPr>
        <w:rPr>
          <w:lang w:val="en-GB"/>
        </w:rPr>
      </w:pPr>
      <w:r w:rsidRPr="002F0C3C">
        <w:rPr>
          <w:lang w:val="en-GB"/>
        </w:rPr>
        <w:t xml:space="preserve">placing liability on the driver may make people behave more responsibly while better maintaining their </w:t>
      </w:r>
      <w:proofErr w:type="gramStart"/>
      <w:r w:rsidRPr="002F0C3C">
        <w:rPr>
          <w:lang w:val="en-GB"/>
        </w:rPr>
        <w:t>vehicle</w:t>
      </w:r>
      <w:proofErr w:type="gramEnd"/>
    </w:p>
    <w:p w14:paraId="281961D7" w14:textId="349058F4" w:rsidR="00A309C4" w:rsidRDefault="002F0C3C" w:rsidP="00A309C4">
      <w:pPr>
        <w:pStyle w:val="Listenabsatz"/>
        <w:numPr>
          <w:ilvl w:val="2"/>
          <w:numId w:val="5"/>
        </w:numPr>
        <w:rPr>
          <w:lang w:val="en-GB"/>
        </w:rPr>
      </w:pPr>
      <w:r w:rsidRPr="000958AF">
        <w:rPr>
          <w:lang w:val="en-GB"/>
        </w:rPr>
        <w:t>efficiency</w:t>
      </w:r>
    </w:p>
    <w:p w14:paraId="4DD4549C" w14:textId="77777777" w:rsidR="000958AF" w:rsidRPr="000958AF" w:rsidRDefault="000958AF" w:rsidP="000958AF">
      <w:pPr>
        <w:pStyle w:val="Listenabsatz"/>
        <w:ind w:left="2160"/>
        <w:rPr>
          <w:lang w:val="en-GB"/>
        </w:rPr>
      </w:pPr>
    </w:p>
    <w:p w14:paraId="3FC08CB2" w14:textId="65BEB6A4" w:rsidR="00A309C4" w:rsidRDefault="00A309C4" w:rsidP="00A309C4">
      <w:pPr>
        <w:pStyle w:val="Listenabsatz"/>
        <w:numPr>
          <w:ilvl w:val="0"/>
          <w:numId w:val="5"/>
        </w:numPr>
        <w:rPr>
          <w:lang w:val="en-GB"/>
        </w:rPr>
      </w:pPr>
      <w:r>
        <w:rPr>
          <w:lang w:val="en-GB"/>
        </w:rPr>
        <w:t>Data and Cybersecurity</w:t>
      </w:r>
      <w:r w:rsidR="000958AF">
        <w:rPr>
          <w:lang w:val="en-GB"/>
        </w:rPr>
        <w:t>:</w:t>
      </w:r>
      <w:r w:rsidR="000958AF">
        <w:rPr>
          <w:rStyle w:val="Funotenzeichen"/>
          <w:lang w:val="en-GB"/>
        </w:rPr>
        <w:footnoteReference w:id="6"/>
      </w:r>
    </w:p>
    <w:p w14:paraId="478011DC" w14:textId="1FA7E6E9" w:rsidR="00A309C4" w:rsidRDefault="00B6676C" w:rsidP="00A309C4">
      <w:pPr>
        <w:pStyle w:val="Listenabsatz"/>
        <w:numPr>
          <w:ilvl w:val="1"/>
          <w:numId w:val="5"/>
        </w:numPr>
        <w:rPr>
          <w:lang w:val="en-GB"/>
        </w:rPr>
      </w:pPr>
      <w:r w:rsidRPr="00B6676C">
        <w:rPr>
          <w:lang w:val="en-GB"/>
        </w:rPr>
        <w:t>Although the regulations related to liability are somewhat limited, the regulations concerning data security are comprehensive.</w:t>
      </w:r>
    </w:p>
    <w:p w14:paraId="787E9B65" w14:textId="5BE6CA08" w:rsidR="00B6676C" w:rsidRDefault="00B6676C" w:rsidP="00A309C4">
      <w:pPr>
        <w:pStyle w:val="Listenabsatz"/>
        <w:numPr>
          <w:ilvl w:val="1"/>
          <w:numId w:val="5"/>
        </w:numPr>
        <w:rPr>
          <w:lang w:val="en-GB"/>
        </w:rPr>
      </w:pPr>
      <w:r w:rsidRPr="00B6676C">
        <w:rPr>
          <w:lang w:val="en-GB"/>
        </w:rPr>
        <w:t>Chinese privacy law defines “personal data” to include any information such as details of the passenger or driver, location, direction, driving history, speed, mileage, etc.</w:t>
      </w:r>
    </w:p>
    <w:p w14:paraId="720DE37B" w14:textId="72D39250" w:rsidR="00D44EEA" w:rsidRPr="00D44EEA" w:rsidRDefault="00D44EEA" w:rsidP="00D44EEA">
      <w:pPr>
        <w:pStyle w:val="Listenabsatz"/>
        <w:numPr>
          <w:ilvl w:val="1"/>
          <w:numId w:val="5"/>
        </w:numPr>
        <w:rPr>
          <w:lang w:val="en-GB"/>
        </w:rPr>
      </w:pPr>
      <w:r w:rsidRPr="00D44EEA">
        <w:rPr>
          <w:lang w:val="en-GB"/>
        </w:rPr>
        <w:t>Data that doesn't fall within the category of personal information may still be classified under other categories, such as "important data.</w:t>
      </w:r>
    </w:p>
    <w:p w14:paraId="7238084B" w14:textId="19DCCAC4" w:rsidR="00D44EEA" w:rsidRDefault="00D44EEA" w:rsidP="00D44EEA">
      <w:pPr>
        <w:pStyle w:val="Listenabsatz"/>
        <w:numPr>
          <w:ilvl w:val="1"/>
          <w:numId w:val="5"/>
        </w:numPr>
        <w:rPr>
          <w:lang w:val="en-GB"/>
        </w:rPr>
      </w:pPr>
      <w:r w:rsidRPr="00D44EEA">
        <w:rPr>
          <w:lang w:val="en-GB"/>
        </w:rPr>
        <w:t>Regardless of whether data falls into the personal or important categories, it is required to be stored domestically.</w:t>
      </w:r>
    </w:p>
    <w:p w14:paraId="6E78D1DD" w14:textId="5764AD97" w:rsidR="00D44EEA" w:rsidRDefault="00D44EEA" w:rsidP="00D44EEA">
      <w:pPr>
        <w:pStyle w:val="Listenabsatz"/>
        <w:numPr>
          <w:ilvl w:val="2"/>
          <w:numId w:val="5"/>
        </w:numPr>
        <w:rPr>
          <w:lang w:val="en-GB"/>
        </w:rPr>
      </w:pPr>
      <w:r w:rsidRPr="00D44EEA">
        <w:rPr>
          <w:lang w:val="en-GB"/>
        </w:rPr>
        <w:t xml:space="preserve">This requirement seems to be unique to </w:t>
      </w:r>
      <w:proofErr w:type="gramStart"/>
      <w:r w:rsidRPr="00D44EEA">
        <w:rPr>
          <w:lang w:val="en-GB"/>
        </w:rPr>
        <w:t>China</w:t>
      </w:r>
      <w:proofErr w:type="gramEnd"/>
    </w:p>
    <w:p w14:paraId="1508612F" w14:textId="34BF81E2" w:rsidR="0050598E" w:rsidRPr="0048718F" w:rsidRDefault="0050598E" w:rsidP="008F42A3">
      <w:pPr>
        <w:pStyle w:val="Listenabsatz"/>
        <w:numPr>
          <w:ilvl w:val="1"/>
          <w:numId w:val="5"/>
        </w:numPr>
        <w:rPr>
          <w:lang w:val="en-GB"/>
        </w:rPr>
      </w:pPr>
      <w:r w:rsidRPr="0048718F">
        <w:rPr>
          <w:lang w:val="en-GB"/>
        </w:rPr>
        <w:t xml:space="preserve">To accompany the existing taxonomy of AVs, China is developing a taxonomy of data security levels. While not yet published, “important data” and “personal data” are likely to be two of the </w:t>
      </w:r>
      <w:proofErr w:type="gramStart"/>
      <w:r w:rsidRPr="0048718F">
        <w:rPr>
          <w:lang w:val="en-GB"/>
        </w:rPr>
        <w:t>terms</w:t>
      </w:r>
      <w:proofErr w:type="gramEnd"/>
    </w:p>
    <w:p w14:paraId="16E3A131" w14:textId="77777777" w:rsidR="008F42A3" w:rsidRPr="008F42A3" w:rsidRDefault="008F42A3" w:rsidP="008F42A3">
      <w:pPr>
        <w:pStyle w:val="Listenabsatz"/>
        <w:ind w:left="1440"/>
        <w:rPr>
          <w:lang w:val="en-GB"/>
        </w:rPr>
      </w:pPr>
    </w:p>
    <w:p w14:paraId="3369E1D8" w14:textId="5FC9E64A" w:rsidR="008F42A3" w:rsidRPr="008F42A3" w:rsidRDefault="008F42A3" w:rsidP="008F42A3">
      <w:pPr>
        <w:pStyle w:val="Listenabsatz"/>
        <w:numPr>
          <w:ilvl w:val="1"/>
          <w:numId w:val="5"/>
        </w:numPr>
        <w:rPr>
          <w:lang w:val="en-GB"/>
        </w:rPr>
      </w:pPr>
      <w:r w:rsidRPr="008F42A3">
        <w:rPr>
          <w:lang w:val="en-GB"/>
        </w:rPr>
        <w:t xml:space="preserve">China has proposed draft regulations mandating the anonymization or desensitization of personal data in cases where obtaining consent is </w:t>
      </w:r>
      <w:proofErr w:type="gramStart"/>
      <w:r w:rsidRPr="008F42A3">
        <w:rPr>
          <w:lang w:val="en-GB"/>
        </w:rPr>
        <w:t>difficult</w:t>
      </w:r>
      <w:proofErr w:type="gramEnd"/>
    </w:p>
    <w:p w14:paraId="0598C910" w14:textId="0009F9CF" w:rsidR="008F42A3" w:rsidRDefault="008F42A3" w:rsidP="008F42A3">
      <w:pPr>
        <w:pStyle w:val="Listenabsatz"/>
        <w:numPr>
          <w:ilvl w:val="1"/>
          <w:numId w:val="5"/>
        </w:numPr>
        <w:rPr>
          <w:lang w:val="en-GB"/>
        </w:rPr>
      </w:pPr>
      <w:r w:rsidRPr="008F42A3">
        <w:rPr>
          <w:lang w:val="en-GB"/>
        </w:rPr>
        <w:t xml:space="preserve">Drivers will probably receive guidance on how to delete data collected from within the car. However, the handling of personal data is subject to limitations, such as determining responsibility in accidents or the driver's </w:t>
      </w:r>
      <w:proofErr w:type="gramStart"/>
      <w:r w:rsidRPr="008F42A3">
        <w:rPr>
          <w:lang w:val="en-GB"/>
        </w:rPr>
        <w:t>usage</w:t>
      </w:r>
      <w:proofErr w:type="gramEnd"/>
    </w:p>
    <w:p w14:paraId="620D0B80" w14:textId="77777777" w:rsidR="008F42A3" w:rsidRDefault="008F42A3" w:rsidP="005426E2">
      <w:pPr>
        <w:rPr>
          <w:lang w:val="en-GB"/>
        </w:rPr>
      </w:pPr>
    </w:p>
    <w:p w14:paraId="15658E5D" w14:textId="77777777" w:rsidR="005426E2" w:rsidRDefault="005426E2" w:rsidP="005426E2">
      <w:pPr>
        <w:rPr>
          <w:lang w:val="en-GB"/>
        </w:rPr>
      </w:pPr>
    </w:p>
    <w:p w14:paraId="202F7506" w14:textId="77777777" w:rsidR="005426E2" w:rsidRDefault="005426E2" w:rsidP="005426E2">
      <w:pPr>
        <w:rPr>
          <w:lang w:val="en-GB"/>
        </w:rPr>
      </w:pPr>
    </w:p>
    <w:p w14:paraId="0F47DB7F" w14:textId="77777777" w:rsidR="005426E2" w:rsidRPr="005426E2" w:rsidRDefault="005426E2" w:rsidP="005426E2">
      <w:pPr>
        <w:rPr>
          <w:lang w:val="en-GB"/>
        </w:rPr>
      </w:pPr>
    </w:p>
    <w:p w14:paraId="2DC46670" w14:textId="77777777" w:rsidR="003B59C5" w:rsidRDefault="003B59C5" w:rsidP="0001214F">
      <w:pPr>
        <w:rPr>
          <w:lang w:val="en-GB"/>
        </w:rPr>
      </w:pPr>
    </w:p>
    <w:p w14:paraId="181FDEA9" w14:textId="03494ABA" w:rsidR="009A18DA" w:rsidRPr="006C01D5" w:rsidRDefault="009A18DA" w:rsidP="0001214F">
      <w:pPr>
        <w:rPr>
          <w:b/>
          <w:bCs/>
          <w:u w:val="single"/>
          <w:lang w:val="en-GB"/>
        </w:rPr>
      </w:pPr>
      <w:r w:rsidRPr="006C01D5">
        <w:rPr>
          <w:b/>
          <w:bCs/>
          <w:u w:val="single"/>
          <w:lang w:val="en-GB"/>
        </w:rPr>
        <w:t xml:space="preserve">United Kingdom </w:t>
      </w:r>
    </w:p>
    <w:p w14:paraId="2EE7E1D0" w14:textId="31FAE63E" w:rsidR="009A18DA" w:rsidRDefault="009A18DA" w:rsidP="009A18DA">
      <w:pPr>
        <w:pStyle w:val="Listenabsatz"/>
        <w:numPr>
          <w:ilvl w:val="0"/>
          <w:numId w:val="5"/>
        </w:numPr>
        <w:rPr>
          <w:lang w:val="en-GB"/>
        </w:rPr>
      </w:pPr>
      <w:r w:rsidRPr="009A18DA">
        <w:rPr>
          <w:lang w:val="en-GB"/>
        </w:rPr>
        <w:t>In the United Kingdom, the Automated and Electric Vehicles Act 2018 (AEVA) is the central statute that establishes requirements for AV registration and operation</w:t>
      </w:r>
      <w:r>
        <w:rPr>
          <w:lang w:val="en-GB"/>
        </w:rPr>
        <w:t xml:space="preserve"> and regulation of AV´s</w:t>
      </w:r>
      <w:r>
        <w:rPr>
          <w:rStyle w:val="Funotenzeichen"/>
          <w:lang w:val="en-GB"/>
        </w:rPr>
        <w:footnoteReference w:id="7"/>
      </w:r>
    </w:p>
    <w:p w14:paraId="505041D8" w14:textId="77777777" w:rsidR="009A18DA" w:rsidRDefault="009A18DA" w:rsidP="000320CA">
      <w:pPr>
        <w:pStyle w:val="Listenabsatz"/>
        <w:rPr>
          <w:lang w:val="en-GB"/>
        </w:rPr>
      </w:pPr>
    </w:p>
    <w:p w14:paraId="0A8B1CC0" w14:textId="56C50286" w:rsidR="000320CA" w:rsidRDefault="000320CA" w:rsidP="000320CA">
      <w:pPr>
        <w:pStyle w:val="Listenabsatz"/>
        <w:numPr>
          <w:ilvl w:val="0"/>
          <w:numId w:val="5"/>
        </w:numPr>
        <w:rPr>
          <w:lang w:val="en-GB"/>
        </w:rPr>
      </w:pPr>
      <w:r>
        <w:rPr>
          <w:lang w:val="en-GB"/>
        </w:rPr>
        <w:t xml:space="preserve">General Liability Framework: </w:t>
      </w:r>
    </w:p>
    <w:p w14:paraId="544D40C2" w14:textId="77777777" w:rsidR="000320CA" w:rsidRPr="000320CA" w:rsidRDefault="000320CA" w:rsidP="000320CA">
      <w:pPr>
        <w:pStyle w:val="Listenabsatz"/>
        <w:rPr>
          <w:lang w:val="en-GB"/>
        </w:rPr>
      </w:pPr>
    </w:p>
    <w:p w14:paraId="69A75AA4" w14:textId="2059696A" w:rsidR="000320CA" w:rsidRDefault="000320CA" w:rsidP="000320CA">
      <w:pPr>
        <w:pStyle w:val="Listenabsatz"/>
        <w:numPr>
          <w:ilvl w:val="1"/>
          <w:numId w:val="5"/>
        </w:numPr>
        <w:rPr>
          <w:lang w:val="en-GB"/>
        </w:rPr>
      </w:pPr>
      <w:r>
        <w:rPr>
          <w:lang w:val="en-GB"/>
        </w:rPr>
        <w:t>AEVA</w:t>
      </w:r>
      <w:r w:rsidRPr="000320CA">
        <w:rPr>
          <w:lang w:val="en-GB"/>
        </w:rPr>
        <w:t xml:space="preserve"> provides that in the event of an accident caused by an automated vehicle, the insurance company of the owner of the vehicle is generally liable to the injured party. Incidentally, the injured party can also be the insured person himself</w:t>
      </w:r>
      <w:r>
        <w:rPr>
          <w:lang w:val="en-GB"/>
        </w:rPr>
        <w:t>.</w:t>
      </w:r>
      <w:r>
        <w:rPr>
          <w:rStyle w:val="Funotenzeichen"/>
          <w:lang w:val="en-GB"/>
        </w:rPr>
        <w:footnoteReference w:id="8"/>
      </w:r>
    </w:p>
    <w:p w14:paraId="55224FBA" w14:textId="6D729144" w:rsidR="000320CA" w:rsidRDefault="000320CA" w:rsidP="000320CA">
      <w:pPr>
        <w:pStyle w:val="Listenabsatz"/>
        <w:numPr>
          <w:ilvl w:val="2"/>
          <w:numId w:val="5"/>
        </w:numPr>
        <w:rPr>
          <w:lang w:val="en-GB"/>
        </w:rPr>
      </w:pPr>
      <w:r w:rsidRPr="000320CA">
        <w:rPr>
          <w:lang w:val="en-GB"/>
        </w:rPr>
        <w:t>Part 1, Section 2</w:t>
      </w:r>
      <w:r>
        <w:rPr>
          <w:lang w:val="en-GB"/>
        </w:rPr>
        <w:t xml:space="preserve"> </w:t>
      </w:r>
      <w:r w:rsidRPr="000320CA">
        <w:rPr>
          <w:lang w:val="en-GB"/>
        </w:rPr>
        <w:t xml:space="preserve">of the AEVA governs the parties’ liabilities when an AV causes an accident and applies when “an accident is caused by an automated vehicle when driving itself on a road or other public place in Great Britain,” and “an insured person or any other person suffers damage </w:t>
      </w:r>
      <w:proofErr w:type="gramStart"/>
      <w:r w:rsidRPr="000320CA">
        <w:rPr>
          <w:lang w:val="en-GB"/>
        </w:rPr>
        <w:t>as a result of</w:t>
      </w:r>
      <w:proofErr w:type="gramEnd"/>
      <w:r w:rsidRPr="000320CA">
        <w:rPr>
          <w:lang w:val="en-GB"/>
        </w:rPr>
        <w:t xml:space="preserve"> the accident</w:t>
      </w:r>
      <w:r w:rsidR="00E25096">
        <w:rPr>
          <w:rStyle w:val="Funotenzeichen"/>
          <w:lang w:val="en-GB"/>
        </w:rPr>
        <w:footnoteReference w:id="9"/>
      </w:r>
    </w:p>
    <w:p w14:paraId="23626BED" w14:textId="1A7AD2D5" w:rsidR="000320CA" w:rsidRDefault="000320CA" w:rsidP="000320CA">
      <w:pPr>
        <w:pStyle w:val="Listenabsatz"/>
        <w:numPr>
          <w:ilvl w:val="3"/>
          <w:numId w:val="5"/>
        </w:numPr>
        <w:rPr>
          <w:lang w:val="en-GB"/>
        </w:rPr>
      </w:pPr>
      <w:r w:rsidRPr="000320CA">
        <w:rPr>
          <w:lang w:val="en-GB"/>
        </w:rPr>
        <w:t>If the vehicle is insured at the time of the accident, Subsection (1) stipulates that the insurer will bear responsibility for the damage.</w:t>
      </w:r>
    </w:p>
    <w:p w14:paraId="429185BA" w14:textId="39607AD5" w:rsidR="000320CA" w:rsidRDefault="000320CA" w:rsidP="000320CA">
      <w:pPr>
        <w:pStyle w:val="Listenabsatz"/>
        <w:numPr>
          <w:ilvl w:val="3"/>
          <w:numId w:val="5"/>
        </w:numPr>
        <w:rPr>
          <w:lang w:val="en-GB"/>
        </w:rPr>
      </w:pPr>
      <w:r w:rsidRPr="000320CA">
        <w:rPr>
          <w:lang w:val="en-GB"/>
        </w:rPr>
        <w:t>In contrast, Subsection (2) states that if the vehicle is not insured—as is required by section 143 of the Road Traffic Act 1988</w:t>
      </w:r>
      <w:r>
        <w:rPr>
          <w:lang w:val="en-GB"/>
        </w:rPr>
        <w:t xml:space="preserve"> - </w:t>
      </w:r>
      <w:r w:rsidRPr="000320CA">
        <w:rPr>
          <w:lang w:val="en-GB"/>
        </w:rPr>
        <w:t xml:space="preserve">the vehicle’s owner is liable for the </w:t>
      </w:r>
      <w:proofErr w:type="gramStart"/>
      <w:r w:rsidRPr="000320CA">
        <w:rPr>
          <w:lang w:val="en-GB"/>
        </w:rPr>
        <w:t>damage</w:t>
      </w:r>
      <w:proofErr w:type="gramEnd"/>
    </w:p>
    <w:p w14:paraId="6A774763" w14:textId="61A802E2" w:rsidR="000320CA" w:rsidRDefault="00DC0AAA" w:rsidP="000320CA">
      <w:pPr>
        <w:pStyle w:val="Listenabsatz"/>
        <w:numPr>
          <w:ilvl w:val="2"/>
          <w:numId w:val="5"/>
        </w:numPr>
        <w:rPr>
          <w:lang w:val="en-GB"/>
        </w:rPr>
      </w:pPr>
      <w:r w:rsidRPr="00DC0AAA">
        <w:rPr>
          <w:lang w:val="en-GB"/>
        </w:rPr>
        <w:t>Subsection (4) states that the recoverable amount for property damage resulting from "any single accident involving an autonomous vehicle" is restricted to the sum specified in section 145(4)(b) of the Road Traffic Act 1988, currently set at £1,200,000.</w:t>
      </w:r>
      <w:r w:rsidR="006E2AD8">
        <w:rPr>
          <w:rStyle w:val="Funotenzeichen"/>
          <w:lang w:val="en-GB"/>
        </w:rPr>
        <w:footnoteReference w:id="10"/>
      </w:r>
    </w:p>
    <w:p w14:paraId="1851FCB6" w14:textId="77777777" w:rsidR="003A74C9" w:rsidRDefault="003A74C9" w:rsidP="003A74C9">
      <w:pPr>
        <w:rPr>
          <w:lang w:val="en-GB"/>
        </w:rPr>
      </w:pPr>
    </w:p>
    <w:p w14:paraId="5FFA900B" w14:textId="6067AE39" w:rsidR="003A74C9" w:rsidRDefault="003A74C9" w:rsidP="003A74C9">
      <w:pPr>
        <w:pStyle w:val="Listenabsatz"/>
        <w:numPr>
          <w:ilvl w:val="1"/>
          <w:numId w:val="5"/>
        </w:numPr>
        <w:rPr>
          <w:lang w:val="en-GB"/>
        </w:rPr>
      </w:pPr>
      <w:r w:rsidRPr="003A74C9">
        <w:rPr>
          <w:lang w:val="en-GB"/>
        </w:rPr>
        <w:t>Section 3 outlines two scenarios in which an insurer or the vehicle's owner could be deemed less liable or not liable at all, based on the actions of the injured person.</w:t>
      </w:r>
      <w:r w:rsidR="00FC4045">
        <w:rPr>
          <w:rStyle w:val="Funotenzeichen"/>
          <w:lang w:val="en-GB"/>
        </w:rPr>
        <w:footnoteReference w:id="11"/>
      </w:r>
    </w:p>
    <w:p w14:paraId="2C7CF5F8" w14:textId="309AC13D" w:rsidR="003A74C9" w:rsidRDefault="003A74C9" w:rsidP="003A74C9">
      <w:pPr>
        <w:pStyle w:val="Listenabsatz"/>
        <w:numPr>
          <w:ilvl w:val="2"/>
          <w:numId w:val="5"/>
        </w:numPr>
        <w:rPr>
          <w:lang w:val="en-GB"/>
        </w:rPr>
      </w:pPr>
      <w:r w:rsidRPr="003A74C9">
        <w:rPr>
          <w:lang w:val="en-GB"/>
        </w:rPr>
        <w:t>Subsection (1) states that if the insurer or vehicle owner would be liable to the injured party under section 2 of the Act, but</w:t>
      </w:r>
      <w:r>
        <w:rPr>
          <w:lang w:val="en-GB"/>
        </w:rPr>
        <w:t xml:space="preserve"> </w:t>
      </w:r>
      <w:r w:rsidRPr="003A74C9">
        <w:rPr>
          <w:lang w:val="en-GB"/>
        </w:rPr>
        <w:t>the accident, or the damage resulting from it, was to any extent caused by the injured party, the liability will be reduced in accordance with “whatever reduction under the Law Reform (Contributory Negligence) Act 1945 would apply to a clai</w:t>
      </w:r>
      <w:r>
        <w:rPr>
          <w:lang w:val="en-GB"/>
        </w:rPr>
        <w:t xml:space="preserve">m </w:t>
      </w:r>
      <w:r w:rsidRPr="003A74C9">
        <w:rPr>
          <w:lang w:val="en-GB"/>
        </w:rPr>
        <w:t>brought by the injured party against a person other than the insurer or vehicle owner</w:t>
      </w:r>
    </w:p>
    <w:p w14:paraId="6003BF84" w14:textId="183F3523" w:rsidR="00AA0DFD" w:rsidRDefault="003A74C9" w:rsidP="00AA0DFD">
      <w:pPr>
        <w:pStyle w:val="Listenabsatz"/>
        <w:numPr>
          <w:ilvl w:val="2"/>
          <w:numId w:val="5"/>
        </w:numPr>
        <w:rPr>
          <w:lang w:val="en-GB"/>
        </w:rPr>
      </w:pPr>
      <w:r w:rsidRPr="003A74C9">
        <w:rPr>
          <w:lang w:val="en-GB"/>
        </w:rPr>
        <w:t>Subsection (2) absolves the insurer or owner from any liability towards an injured individual who was in control of the vehicle if the accident caused by the vehicle's self-driving mode was entirely a result of the individual's negligence in allowing the vehicle to initiate autonomous driving when it was inappropriate to do so.</w:t>
      </w:r>
    </w:p>
    <w:p w14:paraId="5A6063CC" w14:textId="77777777" w:rsidR="00AA0DFD" w:rsidRPr="00AA0DFD" w:rsidRDefault="00AA0DFD" w:rsidP="00AA0DFD">
      <w:pPr>
        <w:pStyle w:val="Listenabsatz"/>
        <w:ind w:left="2160"/>
        <w:rPr>
          <w:lang w:val="en-GB"/>
        </w:rPr>
      </w:pPr>
    </w:p>
    <w:p w14:paraId="3D76F2F6" w14:textId="07253A49" w:rsidR="00AA0DFD" w:rsidRDefault="00AA0DFD" w:rsidP="00AA0DFD">
      <w:pPr>
        <w:pStyle w:val="Listenabsatz"/>
        <w:numPr>
          <w:ilvl w:val="1"/>
          <w:numId w:val="5"/>
        </w:numPr>
        <w:rPr>
          <w:lang w:val="en-GB"/>
        </w:rPr>
      </w:pPr>
      <w:r w:rsidRPr="00AA0DFD">
        <w:rPr>
          <w:lang w:val="en-GB"/>
        </w:rPr>
        <w:lastRenderedPageBreak/>
        <w:t>Section 4 grants insurers the authority to offer policies that restrict their liability in cases where the accident is attributed to an unauthorized alteration of the vehicle's software or the failure to install specific software updates</w:t>
      </w:r>
      <w:r w:rsidR="00D40810">
        <w:rPr>
          <w:rStyle w:val="Funotenzeichen"/>
          <w:lang w:val="en-GB"/>
        </w:rPr>
        <w:footnoteReference w:id="12"/>
      </w:r>
    </w:p>
    <w:p w14:paraId="7FF74D6E" w14:textId="77777777" w:rsidR="00AA0DFD" w:rsidRDefault="00AA0DFD" w:rsidP="00C17EBA">
      <w:pPr>
        <w:pStyle w:val="Listenabsatz"/>
        <w:ind w:left="2160"/>
        <w:rPr>
          <w:lang w:val="en-GB"/>
        </w:rPr>
      </w:pPr>
    </w:p>
    <w:p w14:paraId="3CC66D7C" w14:textId="15C2BBFC" w:rsidR="00DC0AAA" w:rsidRDefault="00C17EBA" w:rsidP="00DC0AAA">
      <w:pPr>
        <w:pStyle w:val="Listenabsatz"/>
        <w:numPr>
          <w:ilvl w:val="1"/>
          <w:numId w:val="5"/>
        </w:numPr>
        <w:rPr>
          <w:lang w:val="en-GB"/>
        </w:rPr>
      </w:pPr>
      <w:r w:rsidRPr="00C17EBA">
        <w:rPr>
          <w:lang w:val="en-GB"/>
        </w:rPr>
        <w:t>Section 5 allows the insurer to recover the amount they are required to pay to an injured person by Section 2 from the person responsible for the accident.</w:t>
      </w:r>
      <w:r w:rsidR="003D0063">
        <w:rPr>
          <w:rStyle w:val="Funotenzeichen"/>
          <w:lang w:val="en-GB"/>
        </w:rPr>
        <w:footnoteReference w:id="13"/>
      </w:r>
    </w:p>
    <w:p w14:paraId="3757B27A" w14:textId="77777777" w:rsidR="009A18DA" w:rsidRPr="006C01D5" w:rsidRDefault="009A18DA" w:rsidP="006C01D5">
      <w:pPr>
        <w:pStyle w:val="Listenabsatz"/>
        <w:ind w:left="1440"/>
        <w:rPr>
          <w:lang w:val="en-GB"/>
        </w:rPr>
      </w:pPr>
    </w:p>
    <w:p w14:paraId="50BCB947" w14:textId="77777777" w:rsidR="00C913EE" w:rsidRDefault="00C913EE" w:rsidP="00C913EE">
      <w:pPr>
        <w:rPr>
          <w:lang w:val="en-GB"/>
        </w:rPr>
      </w:pPr>
    </w:p>
    <w:p w14:paraId="3A9E4CEE" w14:textId="77777777" w:rsidR="006C01D5" w:rsidRDefault="006C01D5" w:rsidP="00C913EE">
      <w:pPr>
        <w:rPr>
          <w:lang w:val="en-GB"/>
        </w:rPr>
      </w:pPr>
    </w:p>
    <w:p w14:paraId="46968894" w14:textId="77777777" w:rsidR="006C01D5" w:rsidRDefault="006C01D5" w:rsidP="00C913EE">
      <w:pPr>
        <w:rPr>
          <w:lang w:val="en-GB"/>
        </w:rPr>
      </w:pPr>
    </w:p>
    <w:p w14:paraId="64AABB40" w14:textId="4A6C74E7" w:rsidR="00BB02B7" w:rsidRPr="006C01D5" w:rsidRDefault="00BB02B7" w:rsidP="00BB02B7">
      <w:pPr>
        <w:rPr>
          <w:b/>
          <w:bCs/>
          <w:u w:val="single"/>
          <w:lang w:val="en-GB"/>
        </w:rPr>
      </w:pPr>
      <w:r w:rsidRPr="006C01D5">
        <w:rPr>
          <w:b/>
          <w:bCs/>
          <w:u w:val="single"/>
          <w:lang w:val="en-GB"/>
        </w:rPr>
        <w:t>Japan</w:t>
      </w:r>
    </w:p>
    <w:p w14:paraId="0C08019F" w14:textId="713BEAEB" w:rsidR="00C913EE" w:rsidRDefault="00BB02B7" w:rsidP="00BB02B7">
      <w:pPr>
        <w:pStyle w:val="Listenabsatz"/>
        <w:numPr>
          <w:ilvl w:val="0"/>
          <w:numId w:val="5"/>
        </w:numPr>
        <w:rPr>
          <w:lang w:val="en-GB"/>
        </w:rPr>
      </w:pPr>
      <w:r w:rsidRPr="00BB02B7">
        <w:rPr>
          <w:lang w:val="en-GB"/>
        </w:rPr>
        <w:t>In April 2022, Japan's Road Traffic Act (RTA), Act No. 105 of 1960, was revised to authorize service providers to offer automated transportation services in "depopulated areas," commencing within the same year.</w:t>
      </w:r>
      <w:r w:rsidR="00C452E0">
        <w:rPr>
          <w:rStyle w:val="Funotenzeichen"/>
          <w:lang w:val="en-GB"/>
        </w:rPr>
        <w:footnoteReference w:id="14"/>
      </w:r>
    </w:p>
    <w:p w14:paraId="16051A52" w14:textId="38FEE16B" w:rsidR="00BB02B7" w:rsidRDefault="00BB02B7" w:rsidP="00BB02B7">
      <w:pPr>
        <w:pStyle w:val="Listenabsatz"/>
        <w:numPr>
          <w:ilvl w:val="0"/>
          <w:numId w:val="5"/>
        </w:numPr>
        <w:rPr>
          <w:lang w:val="en-GB"/>
        </w:rPr>
      </w:pPr>
      <w:r w:rsidRPr="00BB02B7">
        <w:rPr>
          <w:lang w:val="en-GB"/>
        </w:rPr>
        <w:t>The amendment, approved by Japan's central government in March 2022, allows business entities to operate Level 4 autonomous vehicles (AVs) instead of private individuals.</w:t>
      </w:r>
      <w:r w:rsidR="00C452E0">
        <w:rPr>
          <w:rStyle w:val="Funotenzeichen"/>
          <w:lang w:val="en-GB"/>
        </w:rPr>
        <w:footnoteReference w:id="15"/>
      </w:r>
    </w:p>
    <w:p w14:paraId="5AE44BF3" w14:textId="77777777" w:rsidR="00C9795D" w:rsidRPr="00C9795D" w:rsidRDefault="00C9795D" w:rsidP="00C9795D">
      <w:pPr>
        <w:pStyle w:val="Listenabsatz"/>
        <w:rPr>
          <w:lang w:val="en-GB"/>
        </w:rPr>
      </w:pPr>
    </w:p>
    <w:p w14:paraId="0BF48286" w14:textId="2E6CD0DE" w:rsidR="00BB02B7" w:rsidRDefault="00C9795D" w:rsidP="00C9795D">
      <w:pPr>
        <w:pStyle w:val="Listenabsatz"/>
        <w:numPr>
          <w:ilvl w:val="0"/>
          <w:numId w:val="5"/>
        </w:numPr>
        <w:rPr>
          <w:lang w:val="en-GB"/>
        </w:rPr>
      </w:pPr>
      <w:proofErr w:type="gramStart"/>
      <w:r w:rsidRPr="00C9795D">
        <w:rPr>
          <w:lang w:val="en-GB"/>
        </w:rPr>
        <w:t>Similar to</w:t>
      </w:r>
      <w:proofErr w:type="gramEnd"/>
      <w:r w:rsidRPr="00C9795D">
        <w:rPr>
          <w:lang w:val="en-GB"/>
        </w:rPr>
        <w:t xml:space="preserve"> the United Kingdom and various other surveyed jurisdictions, Japan has an obligatory no-fault insurance system.</w:t>
      </w:r>
      <w:r>
        <w:rPr>
          <w:rStyle w:val="Funotenzeichen"/>
          <w:lang w:val="en-GB"/>
        </w:rPr>
        <w:footnoteReference w:id="16"/>
      </w:r>
    </w:p>
    <w:p w14:paraId="3F046E26" w14:textId="77777777" w:rsidR="00C452E0" w:rsidRPr="00C452E0" w:rsidRDefault="00C452E0" w:rsidP="00C452E0">
      <w:pPr>
        <w:pStyle w:val="Listenabsatz"/>
        <w:rPr>
          <w:lang w:val="en-GB"/>
        </w:rPr>
      </w:pPr>
    </w:p>
    <w:p w14:paraId="6AF7C9C5" w14:textId="54C623C7" w:rsidR="00C452E0" w:rsidRDefault="00C452E0" w:rsidP="00C452E0">
      <w:pPr>
        <w:pStyle w:val="Listenabsatz"/>
        <w:numPr>
          <w:ilvl w:val="1"/>
          <w:numId w:val="5"/>
        </w:numPr>
        <w:rPr>
          <w:lang w:val="en-GB"/>
        </w:rPr>
      </w:pPr>
      <w:r>
        <w:rPr>
          <w:lang w:val="en-GB"/>
        </w:rPr>
        <w:t>(</w:t>
      </w:r>
      <w:r w:rsidRPr="00C452E0">
        <w:rPr>
          <w:lang w:val="en-GB"/>
        </w:rPr>
        <w:t>This depiction of the standard automobile insurance system varies somewhat from the United Kingdom's insurance framework, which was instituted by the Automated and Electric Vehicles Act of 2018. The UK's approach concentrates on assigning civil liability to the owners or operators of insured automated vehicles, rather than primarily aiming to establish criminal sanctions for owners or operators (though it does not rule out the possibility of owners or operators facing criminal penalties for their actions or oversights)</w:t>
      </w:r>
      <w:r>
        <w:rPr>
          <w:lang w:val="en-GB"/>
        </w:rPr>
        <w:t>).</w:t>
      </w:r>
      <w:r>
        <w:rPr>
          <w:rStyle w:val="Funotenzeichen"/>
          <w:lang w:val="en-GB"/>
        </w:rPr>
        <w:footnoteReference w:id="17"/>
      </w:r>
    </w:p>
    <w:p w14:paraId="5162ECC8" w14:textId="529E28AD" w:rsidR="00C452E0" w:rsidRPr="00C913EE" w:rsidRDefault="00C452E0" w:rsidP="00C452E0">
      <w:pPr>
        <w:pStyle w:val="Listenabsatz"/>
        <w:numPr>
          <w:ilvl w:val="1"/>
          <w:numId w:val="5"/>
        </w:numPr>
        <w:rPr>
          <w:lang w:val="en-GB"/>
        </w:rPr>
      </w:pPr>
      <w:r w:rsidRPr="00C452E0">
        <w:rPr>
          <w:lang w:val="en-GB"/>
        </w:rPr>
        <w:t>a significant unresolved matter concerning the insurance framework that will oversee the evaluation of liability in accidents involving automated vehicles is whether Japanese legislators or regulators will allow for any redistribution of liability between policyholders and insurers, or between insurers and individuals considered to be contributorily negligent.</w:t>
      </w:r>
      <w:r>
        <w:rPr>
          <w:rStyle w:val="Funotenzeichen"/>
          <w:lang w:val="en-GB"/>
        </w:rPr>
        <w:footnoteReference w:id="18"/>
      </w:r>
    </w:p>
    <w:p w14:paraId="5FD74EF6" w14:textId="77777777" w:rsidR="009A18DA" w:rsidRDefault="009A18DA" w:rsidP="0001214F">
      <w:pPr>
        <w:rPr>
          <w:lang w:val="en-GB"/>
        </w:rPr>
      </w:pPr>
    </w:p>
    <w:p w14:paraId="46F89902" w14:textId="77777777" w:rsidR="009A18DA" w:rsidRDefault="009A18DA" w:rsidP="0001214F">
      <w:pPr>
        <w:rPr>
          <w:lang w:val="en-GB"/>
        </w:rPr>
      </w:pPr>
    </w:p>
    <w:p w14:paraId="5A50D64B" w14:textId="1BD63202" w:rsidR="00C12CF1" w:rsidRPr="00C12CF1" w:rsidRDefault="00C12CF1" w:rsidP="0001214F">
      <w:pPr>
        <w:rPr>
          <w:b/>
          <w:bCs/>
          <w:u w:val="single"/>
          <w:lang w:val="en-GB"/>
        </w:rPr>
      </w:pPr>
      <w:r w:rsidRPr="00C12CF1">
        <w:rPr>
          <w:b/>
          <w:bCs/>
          <w:u w:val="single"/>
          <w:lang w:val="en-GB"/>
        </w:rPr>
        <w:t>France</w:t>
      </w:r>
      <w:r w:rsidR="003B59C5">
        <w:rPr>
          <w:b/>
          <w:bCs/>
          <w:u w:val="single"/>
          <w:lang w:val="en-GB"/>
        </w:rPr>
        <w:t>:</w:t>
      </w:r>
    </w:p>
    <w:p w14:paraId="78566F58" w14:textId="77777777" w:rsidR="00C12CF1" w:rsidRDefault="00C12CF1" w:rsidP="0001214F">
      <w:pPr>
        <w:rPr>
          <w:lang w:val="en-GB"/>
        </w:rPr>
      </w:pPr>
    </w:p>
    <w:p w14:paraId="0862705B" w14:textId="362104F2" w:rsidR="00C12CF1" w:rsidRPr="00C12CF1" w:rsidRDefault="00C12CF1" w:rsidP="00C12CF1">
      <w:pPr>
        <w:pStyle w:val="Listenabsatz"/>
        <w:numPr>
          <w:ilvl w:val="0"/>
          <w:numId w:val="5"/>
        </w:numPr>
        <w:rPr>
          <w:lang w:val="en-GB"/>
        </w:rPr>
      </w:pPr>
      <w:r w:rsidRPr="00C12CF1">
        <w:rPr>
          <w:lang w:val="en-GB"/>
        </w:rPr>
        <w:t>France released the French National Strategy on the Development of Autonomous Vehicles in 2018.</w:t>
      </w:r>
      <w:r>
        <w:rPr>
          <w:rStyle w:val="Funotenzeichen"/>
          <w:lang w:val="en-GB"/>
        </w:rPr>
        <w:footnoteReference w:id="19"/>
      </w:r>
    </w:p>
    <w:p w14:paraId="314382A9" w14:textId="4776D743" w:rsidR="00C12CF1" w:rsidRDefault="00C12CF1" w:rsidP="00C12CF1">
      <w:pPr>
        <w:pStyle w:val="Listenabsatz"/>
        <w:numPr>
          <w:ilvl w:val="1"/>
          <w:numId w:val="5"/>
        </w:numPr>
        <w:rPr>
          <w:lang w:val="en-GB"/>
        </w:rPr>
      </w:pPr>
      <w:r w:rsidRPr="00C12CF1">
        <w:rPr>
          <w:lang w:val="en-GB"/>
        </w:rPr>
        <w:lastRenderedPageBreak/>
        <w:t>This document outlined an initial strategy for adapting the mobility and transportation ecosystem to incorporate autonomous vehicles (Avs</w:t>
      </w:r>
      <w:r>
        <w:rPr>
          <w:lang w:val="en-GB"/>
        </w:rPr>
        <w:t>)</w:t>
      </w:r>
    </w:p>
    <w:p w14:paraId="1E254000" w14:textId="77777777" w:rsidR="00C12CF1" w:rsidRPr="00C12CF1" w:rsidRDefault="00C12CF1" w:rsidP="00874B36">
      <w:pPr>
        <w:pStyle w:val="Listenabsatz"/>
        <w:rPr>
          <w:lang w:val="en-GB"/>
        </w:rPr>
      </w:pPr>
    </w:p>
    <w:p w14:paraId="5F4E2C64" w14:textId="50EED7C8" w:rsidR="00C12CF1" w:rsidRDefault="00C12CF1" w:rsidP="00C12CF1">
      <w:pPr>
        <w:pStyle w:val="Listenabsatz"/>
        <w:numPr>
          <w:ilvl w:val="0"/>
          <w:numId w:val="5"/>
        </w:numPr>
        <w:rPr>
          <w:lang w:val="en-GB"/>
        </w:rPr>
      </w:pPr>
      <w:r w:rsidRPr="00C12CF1">
        <w:rPr>
          <w:lang w:val="en-GB"/>
        </w:rPr>
        <w:t>France initiated the process by introducing regulations, which can be seen as a modified version of the Vienna Convention on Road Traffic, to adapt the law to situations involving the use of autonomous vehicles (A</w:t>
      </w:r>
      <w:r>
        <w:rPr>
          <w:lang w:val="en-GB"/>
        </w:rPr>
        <w:t xml:space="preserve">Vs). </w:t>
      </w:r>
      <w:r w:rsidRPr="00C12CF1">
        <w:rPr>
          <w:lang w:val="en-GB"/>
        </w:rPr>
        <w:t>A French working group identified thirty articles of the Vienna Convention it believed needed to be adjusted to allow for AV developmen</w:t>
      </w:r>
      <w:r>
        <w:rPr>
          <w:lang w:val="en-GB"/>
        </w:rPr>
        <w:t>t.</w:t>
      </w:r>
      <w:r w:rsidR="00974EAC">
        <w:rPr>
          <w:rStyle w:val="Funotenzeichen"/>
          <w:lang w:val="en-GB"/>
        </w:rPr>
        <w:footnoteReference w:id="20"/>
      </w:r>
    </w:p>
    <w:p w14:paraId="60217927" w14:textId="77777777" w:rsidR="00C12CF1" w:rsidRDefault="00C12CF1" w:rsidP="00BE7AA6">
      <w:pPr>
        <w:ind w:left="360"/>
        <w:rPr>
          <w:lang w:val="en-GB"/>
        </w:rPr>
      </w:pPr>
    </w:p>
    <w:p w14:paraId="0B5A615D" w14:textId="7109064E" w:rsidR="00BE7AA6" w:rsidRDefault="00BE7AA6" w:rsidP="00BE7AA6">
      <w:pPr>
        <w:pStyle w:val="Listenabsatz"/>
        <w:numPr>
          <w:ilvl w:val="0"/>
          <w:numId w:val="5"/>
        </w:numPr>
        <w:rPr>
          <w:lang w:val="en-GB"/>
        </w:rPr>
      </w:pPr>
      <w:r w:rsidRPr="00BE7AA6">
        <w:rPr>
          <w:lang w:val="en-GB"/>
        </w:rPr>
        <w:t xml:space="preserve">The working group </w:t>
      </w:r>
      <w:r>
        <w:rPr>
          <w:lang w:val="en-GB"/>
        </w:rPr>
        <w:t>stated</w:t>
      </w:r>
      <w:r w:rsidRPr="00BE7AA6">
        <w:rPr>
          <w:lang w:val="en-GB"/>
        </w:rPr>
        <w:t xml:space="preserve"> that the </w:t>
      </w:r>
      <w:proofErr w:type="spellStart"/>
      <w:r w:rsidRPr="00BE7AA6">
        <w:rPr>
          <w:lang w:val="en-GB"/>
        </w:rPr>
        <w:t>Badinter</w:t>
      </w:r>
      <w:proofErr w:type="spellEnd"/>
      <w:r w:rsidRPr="00BE7AA6">
        <w:rPr>
          <w:lang w:val="en-GB"/>
        </w:rPr>
        <w:t xml:space="preserve"> Law, which attempted to improve outcomes for victims of traffic accidents, already applies to A</w:t>
      </w:r>
      <w:r w:rsidR="00874B36" w:rsidRPr="00BE7AA6">
        <w:rPr>
          <w:lang w:val="en-GB"/>
        </w:rPr>
        <w:t>v</w:t>
      </w:r>
      <w:r w:rsidRPr="00BE7AA6">
        <w:rPr>
          <w:lang w:val="en-GB"/>
        </w:rPr>
        <w:t>s</w:t>
      </w:r>
      <w:r w:rsidR="00874B36">
        <w:rPr>
          <w:rStyle w:val="Funotenzeichen"/>
          <w:lang w:val="en-GB"/>
        </w:rPr>
        <w:footnoteReference w:id="21"/>
      </w:r>
    </w:p>
    <w:p w14:paraId="753DDAF5" w14:textId="77777777" w:rsidR="00874B36" w:rsidRPr="00874B36" w:rsidRDefault="00874B36" w:rsidP="00874B36">
      <w:pPr>
        <w:pStyle w:val="Listenabsatz"/>
        <w:rPr>
          <w:lang w:val="en-GB"/>
        </w:rPr>
      </w:pPr>
    </w:p>
    <w:p w14:paraId="7465428E" w14:textId="1FCCB979" w:rsidR="00874B36" w:rsidRDefault="00874B36" w:rsidP="00874B36">
      <w:pPr>
        <w:pStyle w:val="Listenabsatz"/>
        <w:numPr>
          <w:ilvl w:val="1"/>
          <w:numId w:val="5"/>
        </w:numPr>
        <w:rPr>
          <w:lang w:val="en-GB"/>
        </w:rPr>
      </w:pPr>
      <w:r w:rsidRPr="00874B36">
        <w:rPr>
          <w:lang w:val="en-GB"/>
        </w:rPr>
        <w:t xml:space="preserve">The </w:t>
      </w:r>
      <w:proofErr w:type="spellStart"/>
      <w:r w:rsidRPr="00874B36">
        <w:rPr>
          <w:lang w:val="en-GB"/>
        </w:rPr>
        <w:t>Badinter</w:t>
      </w:r>
      <w:proofErr w:type="spellEnd"/>
      <w:r w:rsidRPr="00874B36">
        <w:rPr>
          <w:lang w:val="en-GB"/>
        </w:rPr>
        <w:t xml:space="preserve"> law establishes a no-fault liability system that enables swift and assured compensation for victims of traffic accidents, encompassing both physical and material damages. Vehicle owners are required to obtain mandatory civil liability insurance to cover any harm caused by them or by anyone using their vehicle. Following compensation, a thorough assessment on a case-by-case basis is conducted to ascertain the allocation of responsibilities among the parties involved in the accident, which may include third parties such as the manufacturer, equipment manufacturer, software provider, other vehicles, and infrastructure, among others.</w:t>
      </w:r>
      <w:r>
        <w:rPr>
          <w:rStyle w:val="Funotenzeichen"/>
          <w:lang w:val="en-GB"/>
        </w:rPr>
        <w:footnoteReference w:id="22"/>
      </w:r>
    </w:p>
    <w:p w14:paraId="4841367E" w14:textId="77777777" w:rsidR="00874B36" w:rsidRDefault="00874B36" w:rsidP="00874B36">
      <w:pPr>
        <w:pStyle w:val="Listenabsatz"/>
        <w:rPr>
          <w:lang w:val="en-GB"/>
        </w:rPr>
      </w:pPr>
    </w:p>
    <w:p w14:paraId="5886CACA" w14:textId="75F63710" w:rsidR="00874B36" w:rsidRDefault="00874B36" w:rsidP="00874B36">
      <w:pPr>
        <w:pStyle w:val="Listenabsatz"/>
        <w:numPr>
          <w:ilvl w:val="0"/>
          <w:numId w:val="5"/>
        </w:numPr>
        <w:rPr>
          <w:lang w:val="en-GB"/>
        </w:rPr>
      </w:pPr>
      <w:r w:rsidRPr="00874B36">
        <w:rPr>
          <w:lang w:val="en-GB"/>
        </w:rPr>
        <w:t>In terms of criminal liability, the “</w:t>
      </w:r>
      <w:proofErr w:type="spellStart"/>
      <w:r w:rsidRPr="00874B36">
        <w:rPr>
          <w:lang w:val="en-GB"/>
        </w:rPr>
        <w:t>Pacte</w:t>
      </w:r>
      <w:proofErr w:type="spellEnd"/>
      <w:r w:rsidRPr="00874B36">
        <w:rPr>
          <w:lang w:val="en-GB"/>
        </w:rPr>
        <w:t>” Law deals with criminal liability in the event of an accident occurring during the testing of AVs.</w:t>
      </w:r>
      <w:r>
        <w:rPr>
          <w:rStyle w:val="Funotenzeichen"/>
          <w:lang w:val="en-GB"/>
        </w:rPr>
        <w:footnoteReference w:id="23"/>
      </w:r>
    </w:p>
    <w:p w14:paraId="268969B7" w14:textId="77777777" w:rsidR="00874B36" w:rsidRDefault="00874B36" w:rsidP="00874B36">
      <w:pPr>
        <w:rPr>
          <w:lang w:val="en-GB"/>
        </w:rPr>
      </w:pPr>
    </w:p>
    <w:p w14:paraId="7CEB7A2A" w14:textId="77777777" w:rsidR="00874B36" w:rsidRDefault="00874B36" w:rsidP="00874B36">
      <w:pPr>
        <w:rPr>
          <w:lang w:val="en-GB"/>
        </w:rPr>
      </w:pPr>
    </w:p>
    <w:p w14:paraId="0A2FE1ED" w14:textId="6ACC4030" w:rsidR="001E1A3D" w:rsidRDefault="00874B36" w:rsidP="001E1A3D">
      <w:pPr>
        <w:pStyle w:val="Listenabsatz"/>
        <w:numPr>
          <w:ilvl w:val="0"/>
          <w:numId w:val="5"/>
        </w:numPr>
        <w:rPr>
          <w:lang w:val="en-GB"/>
        </w:rPr>
      </w:pPr>
      <w:r w:rsidRPr="00874B36">
        <w:rPr>
          <w:lang w:val="en-GB"/>
        </w:rPr>
        <w:t>In response to the European General Data Protection Regulation, France has extended the French Data Protection Act to encompass matters related to autonomous vehicles (AVs).</w:t>
      </w:r>
      <w:r>
        <w:rPr>
          <w:rStyle w:val="Funotenzeichen"/>
          <w:lang w:val="en-GB"/>
        </w:rPr>
        <w:footnoteReference w:id="24"/>
      </w:r>
    </w:p>
    <w:p w14:paraId="51438D18" w14:textId="77777777" w:rsidR="001E1A3D" w:rsidRPr="001E1A3D" w:rsidRDefault="001E1A3D" w:rsidP="001E1A3D">
      <w:pPr>
        <w:pStyle w:val="Listenabsatz"/>
        <w:rPr>
          <w:lang w:val="en-GB"/>
        </w:rPr>
      </w:pPr>
    </w:p>
    <w:p w14:paraId="2AAB4AF7" w14:textId="2788A664" w:rsidR="001E1A3D" w:rsidRPr="00874B36" w:rsidRDefault="001E1A3D" w:rsidP="001E1A3D">
      <w:pPr>
        <w:pStyle w:val="Listenabsatz"/>
        <w:numPr>
          <w:ilvl w:val="1"/>
          <w:numId w:val="5"/>
        </w:numPr>
        <w:rPr>
          <w:lang w:val="en-GB"/>
        </w:rPr>
      </w:pPr>
      <w:r w:rsidRPr="001E1A3D">
        <w:rPr>
          <w:lang w:val="en-GB"/>
        </w:rPr>
        <w:t xml:space="preserve">The law mandates that data must be anonymized, encrypted, and kept within the device. The Commission Nationale de </w:t>
      </w:r>
      <w:proofErr w:type="spellStart"/>
      <w:r w:rsidRPr="001E1A3D">
        <w:rPr>
          <w:lang w:val="en-GB"/>
        </w:rPr>
        <w:t>l'Informatique</w:t>
      </w:r>
      <w:proofErr w:type="spellEnd"/>
      <w:r w:rsidRPr="001E1A3D">
        <w:rPr>
          <w:lang w:val="en-GB"/>
        </w:rPr>
        <w:t xml:space="preserve"> et des </w:t>
      </w:r>
      <w:proofErr w:type="spellStart"/>
      <w:r w:rsidRPr="001E1A3D">
        <w:rPr>
          <w:lang w:val="en-GB"/>
        </w:rPr>
        <w:t>Libertés</w:t>
      </w:r>
      <w:proofErr w:type="spellEnd"/>
      <w:r w:rsidRPr="001E1A3D">
        <w:rPr>
          <w:lang w:val="en-GB"/>
        </w:rPr>
        <w:t xml:space="preserve"> has emphasized the significance of obtaining consumer consent for the utilization of biometric data.</w:t>
      </w:r>
      <w:r>
        <w:rPr>
          <w:rStyle w:val="Funotenzeichen"/>
          <w:lang w:val="en-GB"/>
        </w:rPr>
        <w:footnoteReference w:id="25"/>
      </w:r>
    </w:p>
    <w:p w14:paraId="654D082C" w14:textId="77777777" w:rsidR="00BE7AA6" w:rsidRPr="00BE7AA6" w:rsidRDefault="00BE7AA6" w:rsidP="00BE7AA6">
      <w:pPr>
        <w:rPr>
          <w:lang w:val="en-GB"/>
        </w:rPr>
      </w:pPr>
    </w:p>
    <w:p w14:paraId="763D01BC" w14:textId="77777777" w:rsidR="00C12CF1" w:rsidRDefault="00C12CF1" w:rsidP="0001214F">
      <w:pPr>
        <w:rPr>
          <w:lang w:val="en-GB"/>
        </w:rPr>
      </w:pPr>
    </w:p>
    <w:p w14:paraId="33E6A92F" w14:textId="77777777" w:rsidR="00C12CF1" w:rsidRDefault="00C12CF1" w:rsidP="0001214F">
      <w:pPr>
        <w:rPr>
          <w:lang w:val="en-GB"/>
        </w:rPr>
      </w:pPr>
    </w:p>
    <w:p w14:paraId="6ADF8237" w14:textId="61FD216F" w:rsidR="0001214F" w:rsidRPr="00BE7AA6" w:rsidRDefault="00410CFE" w:rsidP="0001214F">
      <w:pPr>
        <w:rPr>
          <w:b/>
          <w:bCs/>
          <w:u w:val="single"/>
          <w:lang w:val="en-GB"/>
        </w:rPr>
      </w:pPr>
      <w:r w:rsidRPr="00BE7AA6">
        <w:rPr>
          <w:b/>
          <w:bCs/>
          <w:u w:val="single"/>
          <w:lang w:val="en-GB"/>
        </w:rPr>
        <w:t>United States of America</w:t>
      </w:r>
    </w:p>
    <w:p w14:paraId="20A10BAE" w14:textId="127739B8" w:rsidR="00410CFE" w:rsidRDefault="00410CFE" w:rsidP="00410CFE">
      <w:pPr>
        <w:pStyle w:val="Listenabsatz"/>
        <w:numPr>
          <w:ilvl w:val="0"/>
          <w:numId w:val="5"/>
        </w:numPr>
        <w:rPr>
          <w:lang w:val="en-GB"/>
        </w:rPr>
      </w:pPr>
      <w:r>
        <w:rPr>
          <w:lang w:val="en-GB"/>
        </w:rPr>
        <w:t>T</w:t>
      </w:r>
      <w:r w:rsidRPr="00BA0B7C">
        <w:rPr>
          <w:lang w:val="en-GB"/>
        </w:rPr>
        <w:t xml:space="preserve">he </w:t>
      </w:r>
      <w:r>
        <w:rPr>
          <w:lang w:val="en-GB"/>
        </w:rPr>
        <w:t>USA</w:t>
      </w:r>
      <w:r w:rsidRPr="00BA0B7C">
        <w:rPr>
          <w:lang w:val="en-GB"/>
        </w:rPr>
        <w:t xml:space="preserve"> has not signed the </w:t>
      </w:r>
      <w:r>
        <w:rPr>
          <w:lang w:val="en-GB"/>
        </w:rPr>
        <w:t>V</w:t>
      </w:r>
      <w:r w:rsidRPr="00BA0B7C">
        <w:rPr>
          <w:lang w:val="en-GB"/>
        </w:rPr>
        <w:t xml:space="preserve">ienna convention on road </w:t>
      </w:r>
      <w:proofErr w:type="gramStart"/>
      <w:r w:rsidRPr="00BA0B7C">
        <w:rPr>
          <w:lang w:val="en-GB"/>
        </w:rPr>
        <w:t>transport</w:t>
      </w:r>
      <w:proofErr w:type="gramEnd"/>
    </w:p>
    <w:p w14:paraId="67227062" w14:textId="77777777" w:rsidR="00BE7AA6" w:rsidRDefault="00BE7AA6" w:rsidP="00BE7AA6">
      <w:pPr>
        <w:pStyle w:val="Listenabsatz"/>
        <w:rPr>
          <w:lang w:val="en-GB"/>
        </w:rPr>
      </w:pPr>
    </w:p>
    <w:p w14:paraId="4E4998EB" w14:textId="787C581E" w:rsidR="00410CFE" w:rsidRDefault="00410CFE" w:rsidP="00410CFE">
      <w:pPr>
        <w:pStyle w:val="Listenabsatz"/>
        <w:numPr>
          <w:ilvl w:val="0"/>
          <w:numId w:val="5"/>
        </w:numPr>
        <w:rPr>
          <w:lang w:val="en-GB"/>
        </w:rPr>
      </w:pPr>
      <w:r w:rsidRPr="00410CFE">
        <w:rPr>
          <w:lang w:val="en-GB"/>
        </w:rPr>
        <w:t>However, the USA was the first country in the world to introduce regulations on autonomous driving.</w:t>
      </w:r>
      <w:r>
        <w:rPr>
          <w:rStyle w:val="Funotenzeichen"/>
          <w:lang w:val="en-GB"/>
        </w:rPr>
        <w:footnoteReference w:id="26"/>
      </w:r>
    </w:p>
    <w:p w14:paraId="357962EE" w14:textId="77777777" w:rsidR="00BE7AA6" w:rsidRDefault="00BE7AA6" w:rsidP="00BE7AA6">
      <w:pPr>
        <w:pStyle w:val="Listenabsatz"/>
        <w:rPr>
          <w:lang w:val="en-GB"/>
        </w:rPr>
      </w:pPr>
    </w:p>
    <w:p w14:paraId="2990EC6A" w14:textId="4E411687" w:rsidR="00410CFE" w:rsidRDefault="00410CFE" w:rsidP="00410CFE">
      <w:pPr>
        <w:pStyle w:val="Listenabsatz"/>
        <w:numPr>
          <w:ilvl w:val="0"/>
          <w:numId w:val="5"/>
        </w:numPr>
        <w:rPr>
          <w:lang w:val="en-GB"/>
        </w:rPr>
      </w:pPr>
      <w:r w:rsidRPr="00410CFE">
        <w:rPr>
          <w:lang w:val="en-GB"/>
        </w:rPr>
        <w:t>In 2011, Nevada became the first state to implement rules governing autonomous cars, followed by Florida (2012) and California (2012).</w:t>
      </w:r>
      <w:r>
        <w:rPr>
          <w:rStyle w:val="Funotenzeichen"/>
          <w:lang w:val="en-GB"/>
        </w:rPr>
        <w:footnoteReference w:id="27"/>
      </w:r>
      <w:r w:rsidR="00B60772">
        <w:rPr>
          <w:lang w:val="en-GB"/>
        </w:rPr>
        <w:t xml:space="preserve"> </w:t>
      </w:r>
      <w:r w:rsidR="00B60772" w:rsidRPr="00B60772">
        <w:rPr>
          <w:lang w:val="en-GB"/>
        </w:rPr>
        <w:t>Currently, most states have similar legislation, and several others have issued executive orders related to autonomous vehicles.</w:t>
      </w:r>
      <w:r w:rsidR="00B60772">
        <w:rPr>
          <w:rStyle w:val="Funotenzeichen"/>
          <w:lang w:val="en-GB"/>
        </w:rPr>
        <w:footnoteReference w:id="28"/>
      </w:r>
    </w:p>
    <w:p w14:paraId="79528400" w14:textId="77777777" w:rsidR="00BE5230" w:rsidRPr="00BE5230" w:rsidRDefault="00BE5230" w:rsidP="00BE5230">
      <w:pPr>
        <w:pStyle w:val="Listenabsatz"/>
        <w:rPr>
          <w:lang w:val="en-GB"/>
        </w:rPr>
      </w:pPr>
    </w:p>
    <w:p w14:paraId="3146608F" w14:textId="77777777" w:rsidR="00BE5230" w:rsidRPr="00BE7AA6" w:rsidRDefault="00BE5230" w:rsidP="00BE5230">
      <w:pPr>
        <w:pStyle w:val="Listenabsatz"/>
        <w:numPr>
          <w:ilvl w:val="0"/>
          <w:numId w:val="5"/>
        </w:numPr>
        <w:rPr>
          <w:rStyle w:val="Hyperlink"/>
          <w:color w:val="auto"/>
          <w:u w:val="none"/>
          <w:lang w:val="en-GB"/>
        </w:rPr>
      </w:pPr>
      <w:r w:rsidRPr="00410CFE">
        <w:rPr>
          <w:lang w:val="en-GB"/>
        </w:rPr>
        <w:t xml:space="preserve">An overview of the legal bases in the area of automated driving in the states of the USA is provided by the </w:t>
      </w:r>
      <w:r>
        <w:rPr>
          <w:lang w:val="en-GB"/>
        </w:rPr>
        <w:t xml:space="preserve">following database: </w:t>
      </w:r>
      <w:hyperlink r:id="rId8" w:history="1">
        <w:r w:rsidRPr="00410CFE">
          <w:rPr>
            <w:rStyle w:val="Hyperlink"/>
            <w:lang w:val="en-GB"/>
          </w:rPr>
          <w:t>Autonomous Vehicles State Bill Tracking Database (ncsl.org)</w:t>
        </w:r>
      </w:hyperlink>
    </w:p>
    <w:p w14:paraId="75989329" w14:textId="77777777" w:rsidR="00BE5230" w:rsidRPr="00410CFE" w:rsidRDefault="00BE5230" w:rsidP="00410CFE">
      <w:pPr>
        <w:pStyle w:val="Listenabsatz"/>
        <w:numPr>
          <w:ilvl w:val="0"/>
          <w:numId w:val="5"/>
        </w:numPr>
        <w:rPr>
          <w:lang w:val="en-GB"/>
        </w:rPr>
      </w:pPr>
    </w:p>
    <w:p w14:paraId="01224FB2" w14:textId="77777777" w:rsidR="00410CFE" w:rsidRPr="00410CFE" w:rsidRDefault="00410CFE" w:rsidP="005A73CC">
      <w:pPr>
        <w:pStyle w:val="Listenabsatz"/>
        <w:rPr>
          <w:lang w:val="en-GB"/>
        </w:rPr>
      </w:pPr>
    </w:p>
    <w:p w14:paraId="00B074B2" w14:textId="77777777" w:rsidR="0001214F" w:rsidRDefault="0001214F" w:rsidP="0001214F">
      <w:pPr>
        <w:rPr>
          <w:lang w:val="en-GB"/>
        </w:rPr>
      </w:pPr>
    </w:p>
    <w:p w14:paraId="2A0EEA70" w14:textId="77777777" w:rsidR="0001214F" w:rsidRDefault="0001214F" w:rsidP="0001214F">
      <w:pPr>
        <w:rPr>
          <w:lang w:val="en-GB"/>
        </w:rPr>
      </w:pPr>
    </w:p>
    <w:p w14:paraId="77256AC5" w14:textId="77777777" w:rsidR="0001214F" w:rsidRDefault="0001214F" w:rsidP="0001214F">
      <w:pPr>
        <w:rPr>
          <w:lang w:val="en-GB"/>
        </w:rPr>
      </w:pPr>
    </w:p>
    <w:p w14:paraId="0BC1C96C" w14:textId="77777777" w:rsidR="0001214F" w:rsidRDefault="0001214F" w:rsidP="0001214F">
      <w:pPr>
        <w:rPr>
          <w:lang w:val="en-GB"/>
        </w:rPr>
      </w:pPr>
    </w:p>
    <w:p w14:paraId="0025D528" w14:textId="77777777" w:rsidR="0001214F" w:rsidRDefault="0001214F" w:rsidP="0001214F">
      <w:pPr>
        <w:rPr>
          <w:lang w:val="en-GB"/>
        </w:rPr>
      </w:pPr>
    </w:p>
    <w:p w14:paraId="2F9D755D" w14:textId="33B63FF9" w:rsidR="0001214F" w:rsidRDefault="003B59C5" w:rsidP="003B59C5">
      <w:pPr>
        <w:jc w:val="center"/>
        <w:rPr>
          <w:lang w:val="en-GB"/>
        </w:rPr>
      </w:pPr>
      <w:r>
        <w:rPr>
          <w:lang w:val="en-GB"/>
        </w:rPr>
        <w:t>***</w:t>
      </w:r>
    </w:p>
    <w:p w14:paraId="5AF6EAF3" w14:textId="77777777" w:rsidR="0001214F" w:rsidRDefault="0001214F" w:rsidP="0001214F">
      <w:pPr>
        <w:rPr>
          <w:lang w:val="en-GB"/>
        </w:rPr>
      </w:pPr>
    </w:p>
    <w:p w14:paraId="1C469530" w14:textId="77777777" w:rsidR="0001214F" w:rsidRDefault="0001214F" w:rsidP="0001214F">
      <w:pPr>
        <w:rPr>
          <w:lang w:val="en-GB"/>
        </w:rPr>
      </w:pPr>
    </w:p>
    <w:p w14:paraId="2A431910" w14:textId="40B82DF0" w:rsidR="006401BE" w:rsidRPr="005914E4" w:rsidRDefault="006401BE">
      <w:pPr>
        <w:rPr>
          <w:lang w:val="en-GB"/>
        </w:rPr>
      </w:pPr>
    </w:p>
    <w:sectPr w:rsidR="006401BE" w:rsidRPr="005914E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20BF7" w14:textId="77777777" w:rsidR="004E126C" w:rsidRDefault="004E126C" w:rsidP="001C3CF5">
      <w:pPr>
        <w:spacing w:after="0" w:line="240" w:lineRule="auto"/>
      </w:pPr>
      <w:r>
        <w:separator/>
      </w:r>
    </w:p>
  </w:endnote>
  <w:endnote w:type="continuationSeparator" w:id="0">
    <w:p w14:paraId="723919FF" w14:textId="77777777" w:rsidR="004E126C" w:rsidRDefault="004E126C" w:rsidP="001C3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EB106" w14:textId="77777777" w:rsidR="004E126C" w:rsidRDefault="004E126C" w:rsidP="001C3CF5">
      <w:pPr>
        <w:spacing w:after="0" w:line="240" w:lineRule="auto"/>
      </w:pPr>
      <w:r>
        <w:separator/>
      </w:r>
    </w:p>
  </w:footnote>
  <w:footnote w:type="continuationSeparator" w:id="0">
    <w:p w14:paraId="24095402" w14:textId="77777777" w:rsidR="004E126C" w:rsidRDefault="004E126C" w:rsidP="001C3CF5">
      <w:pPr>
        <w:spacing w:after="0" w:line="240" w:lineRule="auto"/>
      </w:pPr>
      <w:r>
        <w:continuationSeparator/>
      </w:r>
    </w:p>
  </w:footnote>
  <w:footnote w:id="1">
    <w:p w14:paraId="571BA8FC" w14:textId="54431A50" w:rsidR="006F7E15" w:rsidRPr="006F7E15" w:rsidRDefault="006F7E15">
      <w:pPr>
        <w:pStyle w:val="Funotentext"/>
        <w:rPr>
          <w:lang w:val="en-GB"/>
        </w:rPr>
      </w:pPr>
      <w:r>
        <w:rPr>
          <w:rStyle w:val="Funotenzeichen"/>
        </w:rPr>
        <w:footnoteRef/>
      </w:r>
      <w:r w:rsidRPr="006F7E15">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sidR="00192CF1">
        <w:rPr>
          <w:lang w:val="en-GB"/>
        </w:rPr>
        <w:t xml:space="preserve">, Journal of Law and </w:t>
      </w:r>
      <w:proofErr w:type="spellStart"/>
      <w:r w:rsidR="00192CF1">
        <w:rPr>
          <w:lang w:val="en-GB"/>
        </w:rPr>
        <w:t>Mobilitiy</w:t>
      </w:r>
      <w:proofErr w:type="spellEnd"/>
      <w:r w:rsidR="00192CF1">
        <w:rPr>
          <w:lang w:val="en-GB"/>
        </w:rPr>
        <w:t xml:space="preserve">, </w:t>
      </w:r>
      <w:r w:rsidR="00ED5E88">
        <w:rPr>
          <w:lang w:val="en-GB"/>
        </w:rPr>
        <w:t>p. 11.</w:t>
      </w:r>
    </w:p>
  </w:footnote>
  <w:footnote w:id="2">
    <w:p w14:paraId="631958C1" w14:textId="3A3D8D8D" w:rsidR="0048718F" w:rsidRPr="00755E80" w:rsidRDefault="0048718F" w:rsidP="0048718F">
      <w:pPr>
        <w:rPr>
          <w:sz w:val="20"/>
          <w:szCs w:val="20"/>
          <w:lang w:val="en-GB"/>
        </w:rPr>
      </w:pPr>
      <w:r>
        <w:rPr>
          <w:rStyle w:val="Funotenzeichen"/>
        </w:rPr>
        <w:footnoteRef/>
      </w:r>
      <w:r w:rsidR="00000000">
        <w:fldChar w:fldCharType="begin"/>
      </w:r>
      <w:r w:rsidR="00000000" w:rsidRPr="003B59C5">
        <w:rPr>
          <w:lang w:val="en-GB"/>
        </w:rPr>
        <w:instrText>HYPERLINK "https://www.cnbc.com/2023/03/17/baidu-says-it-can-now-operate-robotaxis-in-beijing-with-no-human-staff-inside.html"</w:instrText>
      </w:r>
      <w:r w:rsidR="00000000">
        <w:fldChar w:fldCharType="separate"/>
      </w:r>
      <w:r w:rsidRPr="00755E80">
        <w:rPr>
          <w:rStyle w:val="Hyperlink"/>
          <w:sz w:val="20"/>
          <w:szCs w:val="20"/>
          <w:lang w:val="en-GB"/>
        </w:rPr>
        <w:t xml:space="preserve">Baidu says it can now operate </w:t>
      </w:r>
      <w:proofErr w:type="spellStart"/>
      <w:r w:rsidRPr="00755E80">
        <w:rPr>
          <w:rStyle w:val="Hyperlink"/>
          <w:sz w:val="20"/>
          <w:szCs w:val="20"/>
          <w:lang w:val="en-GB"/>
        </w:rPr>
        <w:t>robotaxis</w:t>
      </w:r>
      <w:proofErr w:type="spellEnd"/>
      <w:r w:rsidRPr="00755E80">
        <w:rPr>
          <w:rStyle w:val="Hyperlink"/>
          <w:sz w:val="20"/>
          <w:szCs w:val="20"/>
          <w:lang w:val="en-GB"/>
        </w:rPr>
        <w:t xml:space="preserve"> in Beijing with no human staff inside (cnbc.com)</w:t>
      </w:r>
      <w:r w:rsidR="00000000">
        <w:rPr>
          <w:rStyle w:val="Hyperlink"/>
          <w:sz w:val="20"/>
          <w:szCs w:val="20"/>
          <w:lang w:val="en-GB"/>
        </w:rPr>
        <w:fldChar w:fldCharType="end"/>
      </w:r>
      <w:r w:rsidR="00755E80">
        <w:rPr>
          <w:rStyle w:val="Hyperlink"/>
          <w:sz w:val="20"/>
          <w:szCs w:val="20"/>
          <w:lang w:val="en-GB"/>
        </w:rPr>
        <w:t>.</w:t>
      </w:r>
    </w:p>
  </w:footnote>
  <w:footnote w:id="3">
    <w:p w14:paraId="2F0C2A7C" w14:textId="2DDB664A" w:rsidR="00ED5E88" w:rsidRPr="00ED5E88" w:rsidRDefault="00ED5E88">
      <w:pPr>
        <w:pStyle w:val="Funotentext"/>
        <w:rPr>
          <w:lang w:val="en-GB"/>
        </w:rPr>
      </w:pPr>
      <w:r>
        <w:rPr>
          <w:rStyle w:val="Funotenzeichen"/>
        </w:rPr>
        <w:footnoteRef/>
      </w:r>
      <w:r w:rsidRPr="00ED5E88">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p. 12.</w:t>
      </w:r>
    </w:p>
  </w:footnote>
  <w:footnote w:id="4">
    <w:p w14:paraId="6409A509" w14:textId="7D5853A3" w:rsidR="00604A85" w:rsidRPr="00604A85" w:rsidRDefault="00604A85">
      <w:pPr>
        <w:pStyle w:val="Funotentext"/>
        <w:rPr>
          <w:lang w:val="en-GB"/>
        </w:rPr>
      </w:pPr>
      <w:r>
        <w:rPr>
          <w:rStyle w:val="Funotenzeichen"/>
        </w:rPr>
        <w:footnoteRef/>
      </w:r>
      <w:r w:rsidRPr="00604A85">
        <w:rPr>
          <w:lang w:val="en-GB"/>
        </w:rPr>
        <w:t xml:space="preserve"> </w:t>
      </w:r>
      <w:r w:rsidR="00000000">
        <w:fldChar w:fldCharType="begin"/>
      </w:r>
      <w:r w:rsidR="00000000" w:rsidRPr="003B59C5">
        <w:rPr>
          <w:lang w:val="en-GB"/>
        </w:rPr>
        <w:instrText>HYPERLINK "https://pandaily.com/china-rolls-out-automated-driving-standards-to-be-implemented-from-march-2022/"</w:instrText>
      </w:r>
      <w:r w:rsidR="00000000">
        <w:fldChar w:fldCharType="separate"/>
      </w:r>
      <w:r w:rsidRPr="00604A85">
        <w:rPr>
          <w:rStyle w:val="Hyperlink"/>
          <w:lang w:val="en-GB"/>
        </w:rPr>
        <w:t xml:space="preserve">China Rolls Out Automated Driving Standards to Be Implemented from March 2022 - </w:t>
      </w:r>
      <w:proofErr w:type="spellStart"/>
      <w:r w:rsidRPr="00604A85">
        <w:rPr>
          <w:rStyle w:val="Hyperlink"/>
          <w:lang w:val="en-GB"/>
        </w:rPr>
        <w:t>Pandaily</w:t>
      </w:r>
      <w:proofErr w:type="spellEnd"/>
      <w:r w:rsidR="00000000">
        <w:rPr>
          <w:rStyle w:val="Hyperlink"/>
          <w:lang w:val="en-GB"/>
        </w:rPr>
        <w:fldChar w:fldCharType="end"/>
      </w:r>
    </w:p>
  </w:footnote>
  <w:footnote w:id="5">
    <w:p w14:paraId="6FF482C3" w14:textId="1FD38284" w:rsidR="00EE63E7" w:rsidRPr="00EE63E7" w:rsidRDefault="00EE63E7">
      <w:pPr>
        <w:pStyle w:val="Funotentext"/>
        <w:rPr>
          <w:lang w:val="en-GB"/>
        </w:rPr>
      </w:pPr>
      <w:r>
        <w:rPr>
          <w:rStyle w:val="Funotenzeichen"/>
        </w:rPr>
        <w:footnoteRef/>
      </w:r>
      <w:r w:rsidRPr="00EE63E7">
        <w:rPr>
          <w:lang w:val="en-GB"/>
        </w:rPr>
        <w:t xml:space="preserve"> </w:t>
      </w:r>
      <w:r w:rsidR="00515AE3" w:rsidRPr="00192CF1">
        <w:rPr>
          <w:i/>
          <w:iCs/>
          <w:lang w:val="en-GB"/>
        </w:rPr>
        <w:t>Eastman</w:t>
      </w:r>
      <w:r w:rsidR="00515AE3">
        <w:rPr>
          <w:lang w:val="en-GB"/>
        </w:rPr>
        <w:t>/</w:t>
      </w:r>
      <w:r w:rsidR="00515AE3" w:rsidRPr="00192CF1">
        <w:rPr>
          <w:i/>
          <w:iCs/>
          <w:lang w:val="en-GB"/>
        </w:rPr>
        <w:t>Collins</w:t>
      </w:r>
      <w:r w:rsidR="00515AE3">
        <w:rPr>
          <w:lang w:val="en-GB"/>
        </w:rPr>
        <w:t>/</w:t>
      </w:r>
      <w:r w:rsidR="00515AE3" w:rsidRPr="00192CF1">
        <w:rPr>
          <w:i/>
          <w:iCs/>
          <w:lang w:val="en-GB"/>
        </w:rPr>
        <w:t>Jones</w:t>
      </w:r>
      <w:r w:rsidR="00515AE3">
        <w:rPr>
          <w:lang w:val="en-GB"/>
        </w:rPr>
        <w:t>/</w:t>
      </w:r>
      <w:r w:rsidR="00515AE3" w:rsidRPr="00192CF1">
        <w:rPr>
          <w:i/>
          <w:iCs/>
          <w:lang w:val="en-GB"/>
        </w:rPr>
        <w:t>Martin</w:t>
      </w:r>
      <w:r w:rsidR="00515AE3">
        <w:rPr>
          <w:lang w:val="en-GB"/>
        </w:rPr>
        <w:t>/</w:t>
      </w:r>
      <w:r w:rsidR="00515AE3" w:rsidRPr="00192CF1">
        <w:rPr>
          <w:i/>
          <w:iCs/>
          <w:lang w:val="en-GB"/>
        </w:rPr>
        <w:t>Blumenthal</w:t>
      </w:r>
      <w:r w:rsidR="00515AE3">
        <w:rPr>
          <w:lang w:val="en-GB"/>
        </w:rPr>
        <w:t xml:space="preserve">, Journal of Law and </w:t>
      </w:r>
      <w:proofErr w:type="spellStart"/>
      <w:r w:rsidR="00515AE3">
        <w:rPr>
          <w:lang w:val="en-GB"/>
        </w:rPr>
        <w:t>Mobilitiy</w:t>
      </w:r>
      <w:proofErr w:type="spellEnd"/>
      <w:r w:rsidR="00410CFE">
        <w:rPr>
          <w:lang w:val="en-GB"/>
        </w:rPr>
        <w:t xml:space="preserve"> 2023</w:t>
      </w:r>
      <w:r w:rsidR="00515AE3">
        <w:rPr>
          <w:lang w:val="en-GB"/>
        </w:rPr>
        <w:t>, p. 15 ff.</w:t>
      </w:r>
    </w:p>
  </w:footnote>
  <w:footnote w:id="6">
    <w:p w14:paraId="6071A6D7" w14:textId="65BBAC1C" w:rsidR="000958AF" w:rsidRPr="000958AF" w:rsidRDefault="000958AF">
      <w:pPr>
        <w:pStyle w:val="Funotentext"/>
        <w:rPr>
          <w:lang w:val="en-GB"/>
        </w:rPr>
      </w:pPr>
      <w:r>
        <w:rPr>
          <w:rStyle w:val="Funotenzeichen"/>
        </w:rPr>
        <w:footnoteRef/>
      </w:r>
      <w:r w:rsidR="00515AE3">
        <w:rPr>
          <w:lang w:val="en-GB"/>
        </w:rPr>
        <w:t xml:space="preserve"> </w:t>
      </w:r>
      <w:r w:rsidR="00515AE3" w:rsidRPr="00192CF1">
        <w:rPr>
          <w:i/>
          <w:iCs/>
          <w:lang w:val="en-GB"/>
        </w:rPr>
        <w:t>Eastman</w:t>
      </w:r>
      <w:r w:rsidR="00515AE3">
        <w:rPr>
          <w:lang w:val="en-GB"/>
        </w:rPr>
        <w:t>/</w:t>
      </w:r>
      <w:r w:rsidR="00515AE3" w:rsidRPr="00192CF1">
        <w:rPr>
          <w:i/>
          <w:iCs/>
          <w:lang w:val="en-GB"/>
        </w:rPr>
        <w:t>Collins</w:t>
      </w:r>
      <w:r w:rsidR="00515AE3">
        <w:rPr>
          <w:lang w:val="en-GB"/>
        </w:rPr>
        <w:t>/</w:t>
      </w:r>
      <w:r w:rsidR="00515AE3" w:rsidRPr="00192CF1">
        <w:rPr>
          <w:i/>
          <w:iCs/>
          <w:lang w:val="en-GB"/>
        </w:rPr>
        <w:t>Jones</w:t>
      </w:r>
      <w:r w:rsidR="00515AE3">
        <w:rPr>
          <w:lang w:val="en-GB"/>
        </w:rPr>
        <w:t>/</w:t>
      </w:r>
      <w:r w:rsidR="00515AE3" w:rsidRPr="00192CF1">
        <w:rPr>
          <w:i/>
          <w:iCs/>
          <w:lang w:val="en-GB"/>
        </w:rPr>
        <w:t>Martin</w:t>
      </w:r>
      <w:r w:rsidR="00515AE3">
        <w:rPr>
          <w:lang w:val="en-GB"/>
        </w:rPr>
        <w:t>/</w:t>
      </w:r>
      <w:r w:rsidR="00515AE3" w:rsidRPr="00192CF1">
        <w:rPr>
          <w:i/>
          <w:iCs/>
          <w:lang w:val="en-GB"/>
        </w:rPr>
        <w:t>Blumenthal</w:t>
      </w:r>
      <w:r w:rsidR="00515AE3">
        <w:rPr>
          <w:lang w:val="en-GB"/>
        </w:rPr>
        <w:t xml:space="preserve">, Journal of Law and </w:t>
      </w:r>
      <w:proofErr w:type="spellStart"/>
      <w:r w:rsidR="00515AE3">
        <w:rPr>
          <w:lang w:val="en-GB"/>
        </w:rPr>
        <w:t>Mobilitiy</w:t>
      </w:r>
      <w:proofErr w:type="spellEnd"/>
      <w:r w:rsidR="00410CFE">
        <w:rPr>
          <w:lang w:val="en-GB"/>
        </w:rPr>
        <w:t xml:space="preserve"> 2023</w:t>
      </w:r>
      <w:r w:rsidR="00515AE3">
        <w:rPr>
          <w:lang w:val="en-GB"/>
        </w:rPr>
        <w:t>, p. 17 ff.</w:t>
      </w:r>
    </w:p>
  </w:footnote>
  <w:footnote w:id="7">
    <w:p w14:paraId="015FAC26" w14:textId="7C56C9EF" w:rsidR="009A18DA" w:rsidRPr="00E25096" w:rsidRDefault="009A18DA" w:rsidP="00E25096">
      <w:pPr>
        <w:pStyle w:val="Funotentext"/>
        <w:rPr>
          <w:lang w:val="en-GB"/>
        </w:rPr>
      </w:pPr>
      <w:r>
        <w:rPr>
          <w:rStyle w:val="Funotenzeichen"/>
        </w:rPr>
        <w:footnoteRef/>
      </w:r>
      <w:r w:rsidRPr="00E25096">
        <w:rPr>
          <w:lang w:val="en-GB"/>
        </w:rPr>
        <w:t xml:space="preserve"> </w:t>
      </w:r>
      <w:r w:rsidR="00E25096" w:rsidRPr="00192CF1">
        <w:rPr>
          <w:i/>
          <w:iCs/>
          <w:lang w:val="en-GB"/>
        </w:rPr>
        <w:t>Eastman</w:t>
      </w:r>
      <w:r w:rsidR="00E25096">
        <w:rPr>
          <w:lang w:val="en-GB"/>
        </w:rPr>
        <w:t>/</w:t>
      </w:r>
      <w:r w:rsidR="00E25096" w:rsidRPr="00192CF1">
        <w:rPr>
          <w:i/>
          <w:iCs/>
          <w:lang w:val="en-GB"/>
        </w:rPr>
        <w:t>Collins</w:t>
      </w:r>
      <w:r w:rsidR="00E25096">
        <w:rPr>
          <w:lang w:val="en-GB"/>
        </w:rPr>
        <w:t>/</w:t>
      </w:r>
      <w:r w:rsidR="00E25096" w:rsidRPr="00192CF1">
        <w:rPr>
          <w:i/>
          <w:iCs/>
          <w:lang w:val="en-GB"/>
        </w:rPr>
        <w:t>Jones</w:t>
      </w:r>
      <w:r w:rsidR="00E25096">
        <w:rPr>
          <w:lang w:val="en-GB"/>
        </w:rPr>
        <w:t>/</w:t>
      </w:r>
      <w:r w:rsidR="00E25096" w:rsidRPr="00192CF1">
        <w:rPr>
          <w:i/>
          <w:iCs/>
          <w:lang w:val="en-GB"/>
        </w:rPr>
        <w:t>Martin</w:t>
      </w:r>
      <w:r w:rsidR="00E25096">
        <w:rPr>
          <w:lang w:val="en-GB"/>
        </w:rPr>
        <w:t>/</w:t>
      </w:r>
      <w:r w:rsidR="00E25096" w:rsidRPr="00192CF1">
        <w:rPr>
          <w:i/>
          <w:iCs/>
          <w:lang w:val="en-GB"/>
        </w:rPr>
        <w:t>Blumenthal</w:t>
      </w:r>
      <w:r w:rsidR="00E25096">
        <w:rPr>
          <w:lang w:val="en-GB"/>
        </w:rPr>
        <w:t xml:space="preserve">, Journal of Law and </w:t>
      </w:r>
      <w:proofErr w:type="spellStart"/>
      <w:r w:rsidR="00E25096">
        <w:rPr>
          <w:lang w:val="en-GB"/>
        </w:rPr>
        <w:t>Mobilitiy</w:t>
      </w:r>
      <w:proofErr w:type="spellEnd"/>
      <w:r w:rsidR="00E25096">
        <w:rPr>
          <w:lang w:val="en-GB"/>
        </w:rPr>
        <w:t xml:space="preserve"> 2023, p. 48.</w:t>
      </w:r>
      <w:r w:rsidR="000320CA" w:rsidRPr="00E25096">
        <w:rPr>
          <w:lang w:val="en-GB"/>
        </w:rPr>
        <w:t xml:space="preserve"> </w:t>
      </w:r>
    </w:p>
  </w:footnote>
  <w:footnote w:id="8">
    <w:p w14:paraId="212DCEFE" w14:textId="36AEDD75" w:rsidR="000320CA" w:rsidRDefault="000320CA">
      <w:pPr>
        <w:pStyle w:val="Funotentext"/>
      </w:pPr>
      <w:r>
        <w:rPr>
          <w:rStyle w:val="Funotenzeichen"/>
        </w:rPr>
        <w:footnoteRef/>
      </w:r>
      <w:r>
        <w:t xml:space="preserve"> </w:t>
      </w:r>
      <w:r w:rsidR="00E25096" w:rsidRPr="009C29A7">
        <w:rPr>
          <w:i/>
          <w:iCs/>
        </w:rPr>
        <w:t>Klink-Straub</w:t>
      </w:r>
      <w:r w:rsidR="00E25096" w:rsidRPr="009C29A7">
        <w:t>/</w:t>
      </w:r>
      <w:r w:rsidR="00E25096" w:rsidRPr="009C29A7">
        <w:rPr>
          <w:i/>
          <w:iCs/>
        </w:rPr>
        <w:t>Keber</w:t>
      </w:r>
      <w:r w:rsidR="00E25096" w:rsidRPr="009C29A7">
        <w:t>: Aktuelle Gesetzeslage zum automatisierten Fahren – eine Rechtsvergleichung</w:t>
      </w:r>
      <w:r w:rsidR="00E25096">
        <w:t xml:space="preserve">, </w:t>
      </w:r>
      <w:r w:rsidR="00E25096" w:rsidRPr="009C29A7">
        <w:t>NZV 2020, 11</w:t>
      </w:r>
      <w:r w:rsidR="00E25096">
        <w:t>7.</w:t>
      </w:r>
    </w:p>
  </w:footnote>
  <w:footnote w:id="9">
    <w:p w14:paraId="5F3BCDA5" w14:textId="3E67418C" w:rsidR="00E25096" w:rsidRPr="00E25096" w:rsidRDefault="00E25096">
      <w:pPr>
        <w:pStyle w:val="Funotentext"/>
        <w:rPr>
          <w:lang w:val="en-GB"/>
        </w:rPr>
      </w:pPr>
      <w:r>
        <w:rPr>
          <w:rStyle w:val="Funotenzeichen"/>
        </w:rPr>
        <w:footnoteRef/>
      </w:r>
      <w:r w:rsidRPr="00E25096">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67.</w:t>
      </w:r>
    </w:p>
  </w:footnote>
  <w:footnote w:id="10">
    <w:p w14:paraId="05839383" w14:textId="18C0BE34" w:rsidR="006E2AD8" w:rsidRPr="006E2AD8" w:rsidRDefault="006E2AD8">
      <w:pPr>
        <w:pStyle w:val="Funotentext"/>
        <w:rPr>
          <w:lang w:val="en-GB"/>
        </w:rPr>
      </w:pPr>
      <w:r>
        <w:rPr>
          <w:rStyle w:val="Funotenzeichen"/>
        </w:rPr>
        <w:footnoteRef/>
      </w:r>
      <w:r w:rsidRPr="006E2AD8">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68.</w:t>
      </w:r>
    </w:p>
  </w:footnote>
  <w:footnote w:id="11">
    <w:p w14:paraId="04939EAC" w14:textId="43E6755A" w:rsidR="00FC4045" w:rsidRPr="00FC4045" w:rsidRDefault="00FC4045">
      <w:pPr>
        <w:pStyle w:val="Funotentext"/>
        <w:rPr>
          <w:lang w:val="en-GB"/>
        </w:rPr>
      </w:pPr>
      <w:r>
        <w:rPr>
          <w:rStyle w:val="Funotenzeichen"/>
        </w:rPr>
        <w:footnoteRef/>
      </w:r>
      <w:r w:rsidRPr="00FC4045">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68.</w:t>
      </w:r>
    </w:p>
  </w:footnote>
  <w:footnote w:id="12">
    <w:p w14:paraId="3A39ADE7" w14:textId="54CE70C3" w:rsidR="00D40810" w:rsidRPr="00D40810" w:rsidRDefault="00D40810">
      <w:pPr>
        <w:pStyle w:val="Funotentext"/>
        <w:rPr>
          <w:lang w:val="en-GB"/>
        </w:rPr>
      </w:pPr>
      <w:r>
        <w:rPr>
          <w:rStyle w:val="Funotenzeichen"/>
        </w:rPr>
        <w:footnoteRef/>
      </w:r>
      <w:r w:rsidRPr="00D40810">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68 f.</w:t>
      </w:r>
    </w:p>
  </w:footnote>
  <w:footnote w:id="13">
    <w:p w14:paraId="6AB28232" w14:textId="299B3138" w:rsidR="003D0063" w:rsidRPr="003D0063" w:rsidRDefault="003D0063">
      <w:pPr>
        <w:pStyle w:val="Funotentext"/>
        <w:rPr>
          <w:lang w:val="en-GB"/>
        </w:rPr>
      </w:pPr>
      <w:r>
        <w:rPr>
          <w:rStyle w:val="Funotenzeichen"/>
        </w:rPr>
        <w:footnoteRef/>
      </w:r>
      <w:r w:rsidRPr="003D0063">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69 f.</w:t>
      </w:r>
    </w:p>
  </w:footnote>
  <w:footnote w:id="14">
    <w:p w14:paraId="22B03B13" w14:textId="1CFF5FD5" w:rsidR="00C452E0" w:rsidRPr="00C452E0" w:rsidRDefault="00C452E0">
      <w:pPr>
        <w:pStyle w:val="Funotentext"/>
        <w:rPr>
          <w:lang w:val="en-GB"/>
        </w:rPr>
      </w:pPr>
      <w:r>
        <w:rPr>
          <w:rStyle w:val="Funotenzeichen"/>
        </w:rPr>
        <w:footnoteRef/>
      </w:r>
      <w:r w:rsidRPr="00C452E0">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40.</w:t>
      </w:r>
    </w:p>
  </w:footnote>
  <w:footnote w:id="15">
    <w:p w14:paraId="251A984B" w14:textId="165B71D2" w:rsidR="00C452E0" w:rsidRPr="00C452E0" w:rsidRDefault="00C452E0">
      <w:pPr>
        <w:pStyle w:val="Funotentext"/>
        <w:rPr>
          <w:lang w:val="en-GB"/>
        </w:rPr>
      </w:pPr>
      <w:r>
        <w:rPr>
          <w:rStyle w:val="Funotenzeichen"/>
        </w:rPr>
        <w:footnoteRef/>
      </w:r>
      <w:r w:rsidRPr="00C452E0">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40.</w:t>
      </w:r>
    </w:p>
  </w:footnote>
  <w:footnote w:id="16">
    <w:p w14:paraId="1F959D2F" w14:textId="13F07CBE" w:rsidR="00C9795D" w:rsidRPr="00C9795D" w:rsidRDefault="00C9795D">
      <w:pPr>
        <w:pStyle w:val="Funotentext"/>
        <w:rPr>
          <w:lang w:val="en-GB"/>
        </w:rPr>
      </w:pPr>
      <w:r>
        <w:rPr>
          <w:rStyle w:val="Funotenzeichen"/>
        </w:rPr>
        <w:footnoteRef/>
      </w:r>
      <w:r w:rsidRPr="00C9795D">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47.</w:t>
      </w:r>
    </w:p>
  </w:footnote>
  <w:footnote w:id="17">
    <w:p w14:paraId="50577809" w14:textId="0E27C4EC" w:rsidR="00C452E0" w:rsidRPr="00C452E0" w:rsidRDefault="00C452E0">
      <w:pPr>
        <w:pStyle w:val="Funotentext"/>
        <w:rPr>
          <w:lang w:val="en-GB"/>
        </w:rPr>
      </w:pPr>
      <w:r>
        <w:rPr>
          <w:rStyle w:val="Funotenzeichen"/>
        </w:rPr>
        <w:footnoteRef/>
      </w:r>
      <w:r w:rsidRPr="00C452E0">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48.</w:t>
      </w:r>
    </w:p>
  </w:footnote>
  <w:footnote w:id="18">
    <w:p w14:paraId="188B489F" w14:textId="2761E286" w:rsidR="00C452E0" w:rsidRPr="00C452E0" w:rsidRDefault="00C452E0">
      <w:pPr>
        <w:pStyle w:val="Funotentext"/>
        <w:rPr>
          <w:lang w:val="en-GB"/>
        </w:rPr>
      </w:pPr>
      <w:r>
        <w:rPr>
          <w:rStyle w:val="Funotenzeichen"/>
        </w:rPr>
        <w:footnoteRef/>
      </w:r>
      <w:r w:rsidRPr="00C452E0">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48.</w:t>
      </w:r>
    </w:p>
  </w:footnote>
  <w:footnote w:id="19">
    <w:p w14:paraId="44B8E1A2" w14:textId="266944B0" w:rsidR="00C12CF1" w:rsidRPr="00874B36" w:rsidRDefault="00C12CF1">
      <w:pPr>
        <w:pStyle w:val="Funotentext"/>
        <w:rPr>
          <w:lang w:val="en-GB"/>
        </w:rPr>
      </w:pPr>
      <w:r>
        <w:rPr>
          <w:rStyle w:val="Funotenzeichen"/>
        </w:rPr>
        <w:footnoteRef/>
      </w:r>
      <w:r w:rsidRPr="00874B36">
        <w:rPr>
          <w:lang w:val="en-GB"/>
        </w:rPr>
        <w:t xml:space="preserve"> </w:t>
      </w:r>
      <w:r w:rsidR="00874B36" w:rsidRPr="00192CF1">
        <w:rPr>
          <w:i/>
          <w:iCs/>
          <w:lang w:val="en-GB"/>
        </w:rPr>
        <w:t>Eastman</w:t>
      </w:r>
      <w:r w:rsidR="00874B36">
        <w:rPr>
          <w:lang w:val="en-GB"/>
        </w:rPr>
        <w:t>/</w:t>
      </w:r>
      <w:r w:rsidR="00874B36" w:rsidRPr="00192CF1">
        <w:rPr>
          <w:i/>
          <w:iCs/>
          <w:lang w:val="en-GB"/>
        </w:rPr>
        <w:t>Collins</w:t>
      </w:r>
      <w:r w:rsidR="00874B36">
        <w:rPr>
          <w:lang w:val="en-GB"/>
        </w:rPr>
        <w:t>/</w:t>
      </w:r>
      <w:r w:rsidR="00874B36" w:rsidRPr="00192CF1">
        <w:rPr>
          <w:i/>
          <w:iCs/>
          <w:lang w:val="en-GB"/>
        </w:rPr>
        <w:t>Jones</w:t>
      </w:r>
      <w:r w:rsidR="00874B36">
        <w:rPr>
          <w:lang w:val="en-GB"/>
        </w:rPr>
        <w:t>/</w:t>
      </w:r>
      <w:r w:rsidR="00874B36" w:rsidRPr="00192CF1">
        <w:rPr>
          <w:i/>
          <w:iCs/>
          <w:lang w:val="en-GB"/>
        </w:rPr>
        <w:t>Martin</w:t>
      </w:r>
      <w:r w:rsidR="00874B36">
        <w:rPr>
          <w:lang w:val="en-GB"/>
        </w:rPr>
        <w:t>/</w:t>
      </w:r>
      <w:r w:rsidR="00874B36" w:rsidRPr="00192CF1">
        <w:rPr>
          <w:i/>
          <w:iCs/>
          <w:lang w:val="en-GB"/>
        </w:rPr>
        <w:t>Blumenthal</w:t>
      </w:r>
      <w:r w:rsidR="00874B36">
        <w:rPr>
          <w:lang w:val="en-GB"/>
        </w:rPr>
        <w:t xml:space="preserve">, Journal of Law and </w:t>
      </w:r>
      <w:proofErr w:type="spellStart"/>
      <w:r w:rsidR="00874B36">
        <w:rPr>
          <w:lang w:val="en-GB"/>
        </w:rPr>
        <w:t>Mobilitiy</w:t>
      </w:r>
      <w:proofErr w:type="spellEnd"/>
      <w:r w:rsidR="00874B36">
        <w:rPr>
          <w:lang w:val="en-GB"/>
        </w:rPr>
        <w:t xml:space="preserve"> 2023, p. 21.</w:t>
      </w:r>
    </w:p>
  </w:footnote>
  <w:footnote w:id="20">
    <w:p w14:paraId="75D8F669" w14:textId="1C9BF1B7" w:rsidR="00974EAC" w:rsidRPr="00874B36" w:rsidRDefault="00974EAC">
      <w:pPr>
        <w:pStyle w:val="Funotentext"/>
        <w:rPr>
          <w:lang w:val="en-GB"/>
        </w:rPr>
      </w:pPr>
      <w:r>
        <w:rPr>
          <w:rStyle w:val="Funotenzeichen"/>
        </w:rPr>
        <w:footnoteRef/>
      </w:r>
      <w:r w:rsidRPr="00874B36">
        <w:rPr>
          <w:lang w:val="en-GB"/>
        </w:rPr>
        <w:t xml:space="preserve"> </w:t>
      </w:r>
      <w:r w:rsidR="00874B36" w:rsidRPr="00192CF1">
        <w:rPr>
          <w:i/>
          <w:iCs/>
          <w:lang w:val="en-GB"/>
        </w:rPr>
        <w:t>Eastman</w:t>
      </w:r>
      <w:r w:rsidR="00874B36">
        <w:rPr>
          <w:lang w:val="en-GB"/>
        </w:rPr>
        <w:t>/</w:t>
      </w:r>
      <w:r w:rsidR="00874B36" w:rsidRPr="00192CF1">
        <w:rPr>
          <w:i/>
          <w:iCs/>
          <w:lang w:val="en-GB"/>
        </w:rPr>
        <w:t>Collins</w:t>
      </w:r>
      <w:r w:rsidR="00874B36">
        <w:rPr>
          <w:lang w:val="en-GB"/>
        </w:rPr>
        <w:t>/</w:t>
      </w:r>
      <w:r w:rsidR="00874B36" w:rsidRPr="00192CF1">
        <w:rPr>
          <w:i/>
          <w:iCs/>
          <w:lang w:val="en-GB"/>
        </w:rPr>
        <w:t>Jones</w:t>
      </w:r>
      <w:r w:rsidR="00874B36">
        <w:rPr>
          <w:lang w:val="en-GB"/>
        </w:rPr>
        <w:t>/</w:t>
      </w:r>
      <w:r w:rsidR="00874B36" w:rsidRPr="00192CF1">
        <w:rPr>
          <w:i/>
          <w:iCs/>
          <w:lang w:val="en-GB"/>
        </w:rPr>
        <w:t>Martin</w:t>
      </w:r>
      <w:r w:rsidR="00874B36">
        <w:rPr>
          <w:lang w:val="en-GB"/>
        </w:rPr>
        <w:t>/</w:t>
      </w:r>
      <w:r w:rsidR="00874B36" w:rsidRPr="00192CF1">
        <w:rPr>
          <w:i/>
          <w:iCs/>
          <w:lang w:val="en-GB"/>
        </w:rPr>
        <w:t>Blumenthal</w:t>
      </w:r>
      <w:r w:rsidR="00874B36">
        <w:rPr>
          <w:lang w:val="en-GB"/>
        </w:rPr>
        <w:t xml:space="preserve">, Journal of Law and </w:t>
      </w:r>
      <w:proofErr w:type="spellStart"/>
      <w:r w:rsidR="00874B36">
        <w:rPr>
          <w:lang w:val="en-GB"/>
        </w:rPr>
        <w:t>Mobilitiy</w:t>
      </w:r>
      <w:proofErr w:type="spellEnd"/>
      <w:r w:rsidR="00874B36">
        <w:rPr>
          <w:lang w:val="en-GB"/>
        </w:rPr>
        <w:t xml:space="preserve"> 2023, p. 21.</w:t>
      </w:r>
    </w:p>
  </w:footnote>
  <w:footnote w:id="21">
    <w:p w14:paraId="0243DB52" w14:textId="2594C0AA" w:rsidR="00874B36" w:rsidRPr="00874B36" w:rsidRDefault="00874B36">
      <w:pPr>
        <w:pStyle w:val="Funotentext"/>
        <w:rPr>
          <w:lang w:val="en-GB"/>
        </w:rPr>
      </w:pPr>
      <w:r>
        <w:rPr>
          <w:rStyle w:val="Funotenzeichen"/>
        </w:rPr>
        <w:footnoteRef/>
      </w:r>
      <w:r w:rsidRPr="00874B36">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21.</w:t>
      </w:r>
    </w:p>
  </w:footnote>
  <w:footnote w:id="22">
    <w:p w14:paraId="0BF40CFC" w14:textId="421CDA39" w:rsidR="00874B36" w:rsidRPr="00874B36" w:rsidRDefault="00874B36">
      <w:pPr>
        <w:pStyle w:val="Funotentext"/>
        <w:rPr>
          <w:lang w:val="en-GB"/>
        </w:rPr>
      </w:pPr>
      <w:r>
        <w:rPr>
          <w:rStyle w:val="Funotenzeichen"/>
        </w:rPr>
        <w:footnoteRef/>
      </w:r>
      <w:r w:rsidRPr="00874B36">
        <w:rPr>
          <w:lang w:val="en-GB"/>
        </w:rPr>
        <w:t xml:space="preserve"> </w:t>
      </w:r>
      <w:r w:rsidR="00000000">
        <w:fldChar w:fldCharType="begin"/>
      </w:r>
      <w:r w:rsidR="00000000" w:rsidRPr="003B59C5">
        <w:rPr>
          <w:lang w:val="en-GB"/>
        </w:rPr>
        <w:instrText>HYPERLINK "https://cms.law/en/int/expert-guides/cms-expert-guide-to-autonomous-vehicles-avs/france"</w:instrText>
      </w:r>
      <w:r w:rsidR="00000000">
        <w:fldChar w:fldCharType="separate"/>
      </w:r>
      <w:r w:rsidRPr="00874B36">
        <w:rPr>
          <w:rStyle w:val="Hyperlink"/>
          <w:lang w:val="en-GB"/>
        </w:rPr>
        <w:t>Autonomous vehicles law and regulation in France | CMS Expert Guides</w:t>
      </w:r>
      <w:r w:rsidR="00000000">
        <w:rPr>
          <w:rStyle w:val="Hyperlink"/>
          <w:lang w:val="en-GB"/>
        </w:rPr>
        <w:fldChar w:fldCharType="end"/>
      </w:r>
    </w:p>
  </w:footnote>
  <w:footnote w:id="23">
    <w:p w14:paraId="01AB4B71" w14:textId="0B024475" w:rsidR="00874B36" w:rsidRPr="00874B36" w:rsidRDefault="00874B36">
      <w:pPr>
        <w:pStyle w:val="Funotentext"/>
        <w:rPr>
          <w:lang w:val="en-GB"/>
        </w:rPr>
      </w:pPr>
      <w:r>
        <w:rPr>
          <w:rStyle w:val="Funotenzeichen"/>
        </w:rPr>
        <w:footnoteRef/>
      </w:r>
      <w:r w:rsidRPr="00874B36">
        <w:rPr>
          <w:lang w:val="en-GB"/>
        </w:rPr>
        <w:t xml:space="preserve"> </w:t>
      </w:r>
      <w:r w:rsidR="00000000">
        <w:fldChar w:fldCharType="begin"/>
      </w:r>
      <w:r w:rsidR="00000000" w:rsidRPr="003B59C5">
        <w:rPr>
          <w:lang w:val="en-GB"/>
        </w:rPr>
        <w:instrText>HYPERLINK "https://cms.law/en/int/expert-guides/cms-expert-guide-to-autonomous-vehicles-avs/france"</w:instrText>
      </w:r>
      <w:r w:rsidR="00000000">
        <w:fldChar w:fldCharType="separate"/>
      </w:r>
      <w:r w:rsidRPr="00874B36">
        <w:rPr>
          <w:rStyle w:val="Hyperlink"/>
          <w:lang w:val="en-GB"/>
        </w:rPr>
        <w:t>Autonomous vehicles law and regulation in France | CMS Expert Guides</w:t>
      </w:r>
      <w:r w:rsidR="00000000">
        <w:rPr>
          <w:rStyle w:val="Hyperlink"/>
          <w:lang w:val="en-GB"/>
        </w:rPr>
        <w:fldChar w:fldCharType="end"/>
      </w:r>
    </w:p>
  </w:footnote>
  <w:footnote w:id="24">
    <w:p w14:paraId="60C0DA1E" w14:textId="12FE4C16" w:rsidR="00874B36" w:rsidRPr="00874B36" w:rsidRDefault="00874B36">
      <w:pPr>
        <w:pStyle w:val="Funotentext"/>
        <w:rPr>
          <w:lang w:val="en-GB"/>
        </w:rPr>
      </w:pPr>
      <w:r>
        <w:rPr>
          <w:rStyle w:val="Funotenzeichen"/>
        </w:rPr>
        <w:footnoteRef/>
      </w:r>
      <w:r w:rsidRPr="00874B36">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25.</w:t>
      </w:r>
    </w:p>
  </w:footnote>
  <w:footnote w:id="25">
    <w:p w14:paraId="4064078B" w14:textId="41E1D1F5" w:rsidR="001E1A3D" w:rsidRPr="001E1A3D" w:rsidRDefault="001E1A3D">
      <w:pPr>
        <w:pStyle w:val="Funotentext"/>
        <w:rPr>
          <w:lang w:val="en-GB"/>
        </w:rPr>
      </w:pPr>
      <w:r>
        <w:rPr>
          <w:rStyle w:val="Funotenzeichen"/>
        </w:rPr>
        <w:footnoteRef/>
      </w:r>
      <w:r w:rsidRPr="001E1A3D">
        <w:rPr>
          <w:lang w:val="en-GB"/>
        </w:rPr>
        <w:t xml:space="preserve"> </w:t>
      </w:r>
      <w:r w:rsidRPr="00192CF1">
        <w:rPr>
          <w:i/>
          <w:iCs/>
          <w:lang w:val="en-GB"/>
        </w:rPr>
        <w:t>Eastman</w:t>
      </w:r>
      <w:r>
        <w:rPr>
          <w:lang w:val="en-GB"/>
        </w:rPr>
        <w:t>/</w:t>
      </w:r>
      <w:r w:rsidRPr="00192CF1">
        <w:rPr>
          <w:i/>
          <w:iCs/>
          <w:lang w:val="en-GB"/>
        </w:rPr>
        <w:t>Collins</w:t>
      </w:r>
      <w:r>
        <w:rPr>
          <w:lang w:val="en-GB"/>
        </w:rPr>
        <w:t>/</w:t>
      </w:r>
      <w:r w:rsidRPr="00192CF1">
        <w:rPr>
          <w:i/>
          <w:iCs/>
          <w:lang w:val="en-GB"/>
        </w:rPr>
        <w:t>Jones</w:t>
      </w:r>
      <w:r>
        <w:rPr>
          <w:lang w:val="en-GB"/>
        </w:rPr>
        <w:t>/</w:t>
      </w:r>
      <w:r w:rsidRPr="00192CF1">
        <w:rPr>
          <w:i/>
          <w:iCs/>
          <w:lang w:val="en-GB"/>
        </w:rPr>
        <w:t>Martin</w:t>
      </w:r>
      <w:r>
        <w:rPr>
          <w:lang w:val="en-GB"/>
        </w:rPr>
        <w:t>/</w:t>
      </w:r>
      <w:r w:rsidRPr="00192CF1">
        <w:rPr>
          <w:i/>
          <w:iCs/>
          <w:lang w:val="en-GB"/>
        </w:rPr>
        <w:t>Blumenthal</w:t>
      </w:r>
      <w:r>
        <w:rPr>
          <w:lang w:val="en-GB"/>
        </w:rPr>
        <w:t xml:space="preserve">, Journal of Law and </w:t>
      </w:r>
      <w:proofErr w:type="spellStart"/>
      <w:r>
        <w:rPr>
          <w:lang w:val="en-GB"/>
        </w:rPr>
        <w:t>Mobilitiy</w:t>
      </w:r>
      <w:proofErr w:type="spellEnd"/>
      <w:r>
        <w:rPr>
          <w:lang w:val="en-GB"/>
        </w:rPr>
        <w:t xml:space="preserve"> 2023, p. 25 f.</w:t>
      </w:r>
    </w:p>
  </w:footnote>
  <w:footnote w:id="26">
    <w:p w14:paraId="37CA6C0F" w14:textId="5657CF77" w:rsidR="00410CFE" w:rsidRPr="009C29A7" w:rsidRDefault="00410CFE" w:rsidP="00410CFE">
      <w:pPr>
        <w:pStyle w:val="Funotentext"/>
      </w:pPr>
      <w:r>
        <w:rPr>
          <w:rStyle w:val="Funotenzeichen"/>
        </w:rPr>
        <w:footnoteRef/>
      </w:r>
      <w:r w:rsidRPr="009C29A7">
        <w:t xml:space="preserve"> </w:t>
      </w:r>
      <w:r w:rsidR="009C29A7" w:rsidRPr="009C29A7">
        <w:rPr>
          <w:i/>
          <w:iCs/>
        </w:rPr>
        <w:t>Klink-Straub</w:t>
      </w:r>
      <w:r w:rsidR="009C29A7" w:rsidRPr="009C29A7">
        <w:t>/</w:t>
      </w:r>
      <w:r w:rsidR="009C29A7" w:rsidRPr="009C29A7">
        <w:rPr>
          <w:i/>
          <w:iCs/>
        </w:rPr>
        <w:t>Keber</w:t>
      </w:r>
      <w:r w:rsidR="009C29A7" w:rsidRPr="009C29A7">
        <w:t>: Aktuelle Gesetzeslage zum automatisierten Fahren – eine Rechtsvergleichung</w:t>
      </w:r>
      <w:r w:rsidR="009C29A7">
        <w:t xml:space="preserve">, </w:t>
      </w:r>
      <w:r w:rsidR="009C29A7" w:rsidRPr="009C29A7">
        <w:t>NZV 2020, 11</w:t>
      </w:r>
      <w:r w:rsidR="009C29A7">
        <w:t>7.</w:t>
      </w:r>
    </w:p>
  </w:footnote>
  <w:footnote w:id="27">
    <w:p w14:paraId="6BA05536" w14:textId="0FD31CB6" w:rsidR="00410CFE" w:rsidRPr="00410CFE" w:rsidRDefault="00410CFE" w:rsidP="00410CFE">
      <w:pPr>
        <w:pStyle w:val="Funotentext"/>
        <w:rPr>
          <w:lang w:val="en-GB"/>
        </w:rPr>
      </w:pPr>
      <w:r>
        <w:rPr>
          <w:rStyle w:val="Funotenzeichen"/>
        </w:rPr>
        <w:footnoteRef/>
      </w:r>
      <w:r w:rsidRPr="00CA2FF2">
        <w:rPr>
          <w:lang w:val="en-GB"/>
        </w:rPr>
        <w:t xml:space="preserve"> </w:t>
      </w:r>
      <w:r w:rsidRPr="009C29A7">
        <w:rPr>
          <w:i/>
          <w:iCs/>
          <w:lang w:val="en-GB"/>
        </w:rPr>
        <w:t>Kubica</w:t>
      </w:r>
      <w:r>
        <w:rPr>
          <w:lang w:val="en-GB"/>
        </w:rPr>
        <w:t>, The American Journal of Comparative Law 2022, p. i</w:t>
      </w:r>
      <w:r w:rsidR="00B60772">
        <w:rPr>
          <w:lang w:val="en-GB"/>
        </w:rPr>
        <w:t>44.</w:t>
      </w:r>
    </w:p>
  </w:footnote>
  <w:footnote w:id="28">
    <w:p w14:paraId="320A211F" w14:textId="0A0F1075" w:rsidR="00B60772" w:rsidRPr="00B60772" w:rsidRDefault="00B60772">
      <w:pPr>
        <w:pStyle w:val="Funotentext"/>
        <w:rPr>
          <w:lang w:val="en-GB"/>
        </w:rPr>
      </w:pPr>
      <w:r>
        <w:rPr>
          <w:rStyle w:val="Funotenzeichen"/>
        </w:rPr>
        <w:footnoteRef/>
      </w:r>
      <w:r w:rsidRPr="00B60772">
        <w:rPr>
          <w:lang w:val="en-GB"/>
        </w:rPr>
        <w:t xml:space="preserve"> </w:t>
      </w:r>
      <w:r w:rsidRPr="009C29A7">
        <w:rPr>
          <w:i/>
          <w:iCs/>
          <w:lang w:val="en-GB"/>
        </w:rPr>
        <w:t>Kubica</w:t>
      </w:r>
      <w:r>
        <w:rPr>
          <w:lang w:val="en-GB"/>
        </w:rPr>
        <w:t>, The American Journal of Comparative Law 2022, p. i44.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A3643"/>
    <w:multiLevelType w:val="hybridMultilevel"/>
    <w:tmpl w:val="BE3A50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E1161DC"/>
    <w:multiLevelType w:val="hybridMultilevel"/>
    <w:tmpl w:val="C728DC64"/>
    <w:lvl w:ilvl="0" w:tplc="D2721A14">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D914EB1"/>
    <w:multiLevelType w:val="hybridMultilevel"/>
    <w:tmpl w:val="2C24C5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0E04482"/>
    <w:multiLevelType w:val="hybridMultilevel"/>
    <w:tmpl w:val="595697EA"/>
    <w:lvl w:ilvl="0" w:tplc="751E68D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9D82017"/>
    <w:multiLevelType w:val="hybridMultilevel"/>
    <w:tmpl w:val="792868F0"/>
    <w:lvl w:ilvl="0" w:tplc="C66239A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6955930">
    <w:abstractNumId w:val="3"/>
  </w:num>
  <w:num w:numId="2" w16cid:durableId="723335874">
    <w:abstractNumId w:val="2"/>
  </w:num>
  <w:num w:numId="3" w16cid:durableId="434324971">
    <w:abstractNumId w:val="0"/>
  </w:num>
  <w:num w:numId="4" w16cid:durableId="1729184908">
    <w:abstractNumId w:val="4"/>
  </w:num>
  <w:num w:numId="5" w16cid:durableId="198531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1BE"/>
    <w:rsid w:val="0001214F"/>
    <w:rsid w:val="000320CA"/>
    <w:rsid w:val="000958AF"/>
    <w:rsid w:val="000D5DED"/>
    <w:rsid w:val="00110B0B"/>
    <w:rsid w:val="00192CF1"/>
    <w:rsid w:val="001C3165"/>
    <w:rsid w:val="001C3CF5"/>
    <w:rsid w:val="001E14FA"/>
    <w:rsid w:val="001E1A3D"/>
    <w:rsid w:val="00252C6C"/>
    <w:rsid w:val="00262BFF"/>
    <w:rsid w:val="002D2621"/>
    <w:rsid w:val="002F0C3C"/>
    <w:rsid w:val="00302EFB"/>
    <w:rsid w:val="00311B98"/>
    <w:rsid w:val="003203F1"/>
    <w:rsid w:val="00344658"/>
    <w:rsid w:val="003551A7"/>
    <w:rsid w:val="003A74C9"/>
    <w:rsid w:val="003B59C5"/>
    <w:rsid w:val="003D0063"/>
    <w:rsid w:val="003D2FA4"/>
    <w:rsid w:val="00410CFE"/>
    <w:rsid w:val="00421C9E"/>
    <w:rsid w:val="00437611"/>
    <w:rsid w:val="0048718F"/>
    <w:rsid w:val="004E126C"/>
    <w:rsid w:val="004F4F01"/>
    <w:rsid w:val="0050598E"/>
    <w:rsid w:val="00515AE3"/>
    <w:rsid w:val="005426E2"/>
    <w:rsid w:val="0055395F"/>
    <w:rsid w:val="0056564D"/>
    <w:rsid w:val="005914E4"/>
    <w:rsid w:val="005A73CC"/>
    <w:rsid w:val="005B6E6E"/>
    <w:rsid w:val="00604A85"/>
    <w:rsid w:val="006401BE"/>
    <w:rsid w:val="006C01D5"/>
    <w:rsid w:val="006E2AD8"/>
    <w:rsid w:val="006F7E15"/>
    <w:rsid w:val="00725140"/>
    <w:rsid w:val="00755E80"/>
    <w:rsid w:val="007A3157"/>
    <w:rsid w:val="007C4CBF"/>
    <w:rsid w:val="00804277"/>
    <w:rsid w:val="008269AC"/>
    <w:rsid w:val="008550B6"/>
    <w:rsid w:val="00874B36"/>
    <w:rsid w:val="008821C5"/>
    <w:rsid w:val="008878E9"/>
    <w:rsid w:val="008B4B54"/>
    <w:rsid w:val="008F0975"/>
    <w:rsid w:val="008F3F1D"/>
    <w:rsid w:val="008F42A3"/>
    <w:rsid w:val="00974EAC"/>
    <w:rsid w:val="00985490"/>
    <w:rsid w:val="009A18DA"/>
    <w:rsid w:val="009A2C00"/>
    <w:rsid w:val="009A3B5B"/>
    <w:rsid w:val="009B1C81"/>
    <w:rsid w:val="009C29A7"/>
    <w:rsid w:val="009D07E1"/>
    <w:rsid w:val="009E143D"/>
    <w:rsid w:val="009E36AD"/>
    <w:rsid w:val="00A257D0"/>
    <w:rsid w:val="00A271F3"/>
    <w:rsid w:val="00A309C4"/>
    <w:rsid w:val="00A74650"/>
    <w:rsid w:val="00A977E0"/>
    <w:rsid w:val="00AA06A1"/>
    <w:rsid w:val="00AA0DFD"/>
    <w:rsid w:val="00AA6C46"/>
    <w:rsid w:val="00AB3DAB"/>
    <w:rsid w:val="00B42157"/>
    <w:rsid w:val="00B60772"/>
    <w:rsid w:val="00B6676C"/>
    <w:rsid w:val="00BA0B7C"/>
    <w:rsid w:val="00BB02B7"/>
    <w:rsid w:val="00BC0353"/>
    <w:rsid w:val="00BD237D"/>
    <w:rsid w:val="00BE5230"/>
    <w:rsid w:val="00BE7341"/>
    <w:rsid w:val="00BE7AA6"/>
    <w:rsid w:val="00C01BFA"/>
    <w:rsid w:val="00C041ED"/>
    <w:rsid w:val="00C12CF1"/>
    <w:rsid w:val="00C17EBA"/>
    <w:rsid w:val="00C33EFC"/>
    <w:rsid w:val="00C452E0"/>
    <w:rsid w:val="00C913EE"/>
    <w:rsid w:val="00C9795D"/>
    <w:rsid w:val="00CA2FF2"/>
    <w:rsid w:val="00CE6480"/>
    <w:rsid w:val="00D15701"/>
    <w:rsid w:val="00D37899"/>
    <w:rsid w:val="00D40810"/>
    <w:rsid w:val="00D411F5"/>
    <w:rsid w:val="00D44EEA"/>
    <w:rsid w:val="00D45295"/>
    <w:rsid w:val="00DC0AAA"/>
    <w:rsid w:val="00DF2C98"/>
    <w:rsid w:val="00E25096"/>
    <w:rsid w:val="00EA6343"/>
    <w:rsid w:val="00ED5E88"/>
    <w:rsid w:val="00EE63E7"/>
    <w:rsid w:val="00F15CEA"/>
    <w:rsid w:val="00F210AC"/>
    <w:rsid w:val="00F9734B"/>
    <w:rsid w:val="00FC40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1E8A7"/>
  <w15:chartTrackingRefBased/>
  <w15:docId w15:val="{DE3EF8BF-6FBE-4777-B935-0BE45092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3DAB"/>
    <w:rPr>
      <w:rFonts w:ascii="Times New Roman" w:hAnsi="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6401BE"/>
    <w:rPr>
      <w:color w:val="0000FF"/>
      <w:u w:val="single"/>
    </w:rPr>
  </w:style>
  <w:style w:type="paragraph" w:styleId="Listenabsatz">
    <w:name w:val="List Paragraph"/>
    <w:basedOn w:val="Standard"/>
    <w:uiPriority w:val="34"/>
    <w:qFormat/>
    <w:rsid w:val="005914E4"/>
    <w:pPr>
      <w:ind w:left="720"/>
      <w:contextualSpacing/>
    </w:pPr>
  </w:style>
  <w:style w:type="paragraph" w:styleId="Funotentext">
    <w:name w:val="footnote text"/>
    <w:basedOn w:val="Standard"/>
    <w:link w:val="FunotentextZchn"/>
    <w:uiPriority w:val="99"/>
    <w:semiHidden/>
    <w:unhideWhenUsed/>
    <w:rsid w:val="001C3CF5"/>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C3CF5"/>
    <w:rPr>
      <w:sz w:val="20"/>
      <w:szCs w:val="20"/>
    </w:rPr>
  </w:style>
  <w:style w:type="character" w:styleId="Funotenzeichen">
    <w:name w:val="footnote reference"/>
    <w:basedOn w:val="Absatz-Standardschriftart"/>
    <w:uiPriority w:val="99"/>
    <w:semiHidden/>
    <w:unhideWhenUsed/>
    <w:rsid w:val="001C3CF5"/>
    <w:rPr>
      <w:vertAlign w:val="superscript"/>
    </w:rPr>
  </w:style>
  <w:style w:type="character" w:styleId="BesuchterLink">
    <w:name w:val="FollowedHyperlink"/>
    <w:basedOn w:val="Absatz-Standardschriftart"/>
    <w:uiPriority w:val="99"/>
    <w:semiHidden/>
    <w:unhideWhenUsed/>
    <w:rsid w:val="00AB3DAB"/>
    <w:rPr>
      <w:color w:val="954F72" w:themeColor="followedHyperlink"/>
      <w:u w:val="single"/>
    </w:rPr>
  </w:style>
  <w:style w:type="paragraph" w:styleId="Kopfzeile">
    <w:name w:val="header"/>
    <w:basedOn w:val="Standard"/>
    <w:link w:val="KopfzeileZchn"/>
    <w:uiPriority w:val="99"/>
    <w:unhideWhenUsed/>
    <w:rsid w:val="006C01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01D5"/>
    <w:rPr>
      <w:rFonts w:ascii="Times New Roman" w:hAnsi="Times New Roman"/>
    </w:rPr>
  </w:style>
  <w:style w:type="paragraph" w:styleId="Fuzeile">
    <w:name w:val="footer"/>
    <w:basedOn w:val="Standard"/>
    <w:link w:val="FuzeileZchn"/>
    <w:uiPriority w:val="99"/>
    <w:unhideWhenUsed/>
    <w:rsid w:val="006C01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01D5"/>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sl.org/transportation/autonomous-vehicles-state-bill-tracking-databas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B342A-35E8-4AAC-9CDB-DF5D4DB0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1665</Words>
  <Characters>10494</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Gereon Schuster</dc:creator>
  <cp:keywords/>
  <dc:description/>
  <cp:lastModifiedBy>Gereon Schuster</cp:lastModifiedBy>
  <cp:revision>2</cp:revision>
  <dcterms:created xsi:type="dcterms:W3CDTF">2023-09-26T18:33:00Z</dcterms:created>
  <dcterms:modified xsi:type="dcterms:W3CDTF">2023-09-26T18:33:00Z</dcterms:modified>
</cp:coreProperties>
</file>